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1C8781" w14:textId="77777777" w:rsidR="009205E8" w:rsidRDefault="009205E8" w:rsidP="009205E8">
      <w:pPr>
        <w:rPr>
          <w:b/>
          <w:bCs/>
        </w:rPr>
      </w:pPr>
    </w:p>
    <w:p w14:paraId="16614D2F" w14:textId="22F32D45" w:rsidR="009205E8" w:rsidRPr="00CA3E8D" w:rsidRDefault="009205E8" w:rsidP="009205E8">
      <w:pPr>
        <w:jc w:val="center"/>
        <w:rPr>
          <w:b/>
          <w:bCs/>
        </w:rPr>
      </w:pPr>
      <w:r w:rsidRPr="00CA3E8D">
        <w:rPr>
          <w:b/>
          <w:bCs/>
        </w:rPr>
        <w:t xml:space="preserve">IMO </w:t>
      </w:r>
      <w:r>
        <w:rPr>
          <w:b/>
          <w:bCs/>
        </w:rPr>
        <w:t>MEPC 83: SEA-LNG Initial Analysis</w:t>
      </w:r>
    </w:p>
    <w:p w14:paraId="2DDAB095" w14:textId="77777777" w:rsidR="009205E8" w:rsidRDefault="009205E8" w:rsidP="009205E8"/>
    <w:p w14:paraId="39B519EC" w14:textId="77777777" w:rsidR="009205E8" w:rsidRDefault="009205E8" w:rsidP="009205E8"/>
    <w:p w14:paraId="73B04BBF" w14:textId="77777777" w:rsidR="009205E8" w:rsidRPr="006135AC" w:rsidRDefault="009205E8" w:rsidP="009205E8">
      <w:pPr>
        <w:rPr>
          <w:b/>
          <w:bCs/>
          <w:u w:val="single"/>
        </w:rPr>
      </w:pPr>
      <w:r w:rsidRPr="006135AC">
        <w:rPr>
          <w:b/>
          <w:bCs/>
          <w:u w:val="single"/>
        </w:rPr>
        <w:t>Introduction</w:t>
      </w:r>
    </w:p>
    <w:p w14:paraId="4D56D67F" w14:textId="77777777" w:rsidR="009205E8" w:rsidRDefault="009205E8" w:rsidP="009205E8"/>
    <w:p w14:paraId="176FA692" w14:textId="77777777" w:rsidR="009205E8" w:rsidRPr="00541B19" w:rsidRDefault="009205E8" w:rsidP="009205E8">
      <w:pPr>
        <w:pStyle w:val="xmsonormal"/>
        <w:spacing w:before="0" w:beforeAutospacing="0" w:after="0" w:afterAutospacing="0"/>
        <w:rPr>
          <w:rFonts w:ascii="Aptos" w:hAnsi="Aptos"/>
          <w:color w:val="212121"/>
        </w:rPr>
      </w:pPr>
      <w:r>
        <w:rPr>
          <w:rFonts w:ascii="Aptos" w:hAnsi="Aptos"/>
          <w:color w:val="212121"/>
        </w:rPr>
        <w:t xml:space="preserve">The Net-Zero Framework </w:t>
      </w:r>
      <w:r w:rsidRPr="00541B19">
        <w:rPr>
          <w:rFonts w:ascii="Aptos" w:hAnsi="Aptos"/>
          <w:color w:val="212121"/>
        </w:rPr>
        <w:t xml:space="preserve">for </w:t>
      </w:r>
      <w:r>
        <w:rPr>
          <w:rFonts w:ascii="Aptos" w:hAnsi="Aptos"/>
          <w:color w:val="212121"/>
        </w:rPr>
        <w:t xml:space="preserve">greenhouse gas </w:t>
      </w:r>
      <w:r w:rsidRPr="00541B19">
        <w:rPr>
          <w:rFonts w:ascii="Aptos" w:hAnsi="Aptos"/>
          <w:color w:val="212121"/>
        </w:rPr>
        <w:t>emissions reductions</w:t>
      </w:r>
      <w:r>
        <w:rPr>
          <w:rFonts w:ascii="Aptos" w:hAnsi="Aptos"/>
          <w:color w:val="212121"/>
        </w:rPr>
        <w:t xml:space="preserve"> approved by the</w:t>
      </w:r>
      <w:r w:rsidRPr="00541B19">
        <w:rPr>
          <w:rFonts w:ascii="Aptos" w:hAnsi="Aptos"/>
          <w:color w:val="212121"/>
        </w:rPr>
        <w:t xml:space="preserve"> IMO </w:t>
      </w:r>
      <w:r>
        <w:rPr>
          <w:rFonts w:ascii="Aptos" w:hAnsi="Aptos"/>
          <w:color w:val="212121"/>
        </w:rPr>
        <w:t xml:space="preserve">MEPC 83 </w:t>
      </w:r>
      <w:r w:rsidRPr="00541B19">
        <w:rPr>
          <w:rFonts w:ascii="Aptos" w:hAnsi="Aptos"/>
          <w:color w:val="212121"/>
        </w:rPr>
        <w:t xml:space="preserve">provides a clear decarbonisation </w:t>
      </w:r>
      <w:r>
        <w:rPr>
          <w:rFonts w:ascii="Aptos" w:hAnsi="Aptos"/>
          <w:color w:val="212121"/>
        </w:rPr>
        <w:t xml:space="preserve">structure </w:t>
      </w:r>
      <w:r w:rsidRPr="00541B19">
        <w:rPr>
          <w:rFonts w:ascii="Aptos" w:hAnsi="Aptos"/>
          <w:color w:val="212121"/>
        </w:rPr>
        <w:t>for the global shipping industry</w:t>
      </w:r>
      <w:r>
        <w:rPr>
          <w:rFonts w:ascii="Aptos" w:hAnsi="Aptos"/>
          <w:color w:val="212121"/>
        </w:rPr>
        <w:t xml:space="preserve">.  </w:t>
      </w:r>
      <w:r w:rsidRPr="00541B19">
        <w:rPr>
          <w:rFonts w:ascii="Aptos" w:hAnsi="Aptos"/>
          <w:color w:val="212121"/>
        </w:rPr>
        <w:t>While many details need to be decided</w:t>
      </w:r>
      <w:r>
        <w:rPr>
          <w:rFonts w:ascii="Aptos" w:hAnsi="Aptos"/>
          <w:color w:val="212121"/>
        </w:rPr>
        <w:t>,</w:t>
      </w:r>
      <w:r w:rsidRPr="00541B19">
        <w:rPr>
          <w:rFonts w:ascii="Aptos" w:hAnsi="Aptos"/>
          <w:color w:val="212121"/>
        </w:rPr>
        <w:t xml:space="preserve"> </w:t>
      </w:r>
      <w:r>
        <w:rPr>
          <w:rFonts w:ascii="Aptos" w:hAnsi="Aptos"/>
          <w:color w:val="212121"/>
        </w:rPr>
        <w:t xml:space="preserve">it should, in principle, </w:t>
      </w:r>
      <w:r w:rsidRPr="00541B19">
        <w:rPr>
          <w:rFonts w:ascii="Aptos" w:hAnsi="Aptos"/>
          <w:color w:val="212121"/>
        </w:rPr>
        <w:t>enable all fuel pathways, be they</w:t>
      </w:r>
      <w:r>
        <w:rPr>
          <w:rFonts w:ascii="Aptos" w:hAnsi="Aptos"/>
          <w:color w:val="212121"/>
        </w:rPr>
        <w:t xml:space="preserve"> </w:t>
      </w:r>
      <w:r w:rsidRPr="00541B19">
        <w:rPr>
          <w:rFonts w:ascii="Aptos" w:hAnsi="Aptos"/>
          <w:color w:val="212121"/>
        </w:rPr>
        <w:t>LNG</w:t>
      </w:r>
      <w:r>
        <w:rPr>
          <w:rFonts w:ascii="Aptos" w:hAnsi="Aptos"/>
          <w:color w:val="212121"/>
        </w:rPr>
        <w:t xml:space="preserve"> (methane)</w:t>
      </w:r>
      <w:r w:rsidRPr="00541B19">
        <w:rPr>
          <w:rFonts w:ascii="Aptos" w:hAnsi="Aptos"/>
          <w:color w:val="212121"/>
        </w:rPr>
        <w:t>, methanol or ammonia, to compete on a level playing field.</w:t>
      </w:r>
    </w:p>
    <w:p w14:paraId="3156001D" w14:textId="77777777" w:rsidR="009205E8" w:rsidRDefault="009205E8" w:rsidP="009205E8">
      <w:pPr>
        <w:pStyle w:val="xmsonormal"/>
        <w:spacing w:before="0" w:beforeAutospacing="0" w:after="0" w:afterAutospacing="0"/>
        <w:rPr>
          <w:rFonts w:ascii="Aptos" w:hAnsi="Aptos"/>
          <w:color w:val="212121"/>
        </w:rPr>
      </w:pPr>
    </w:p>
    <w:p w14:paraId="4B4F208A" w14:textId="77777777" w:rsidR="009205E8" w:rsidRPr="00817959" w:rsidRDefault="009205E8" w:rsidP="009205E8">
      <w:r w:rsidRPr="00817959">
        <w:t xml:space="preserve">Here we share some initial analysis of the commercial implications of the regulatory framework, </w:t>
      </w:r>
      <w:r>
        <w:t>comparing the investment case of the different alternative fuel pathways and the broader implications for shipping industry decarbonisation.  This is the first in a series of papers SEA-LNG is planning to develop and we welcome feedback from the industry.</w:t>
      </w:r>
    </w:p>
    <w:p w14:paraId="35A03D54" w14:textId="77777777" w:rsidR="009205E8" w:rsidRDefault="009205E8" w:rsidP="009205E8"/>
    <w:p w14:paraId="5F5D8845" w14:textId="77777777" w:rsidR="009205E8" w:rsidRDefault="009205E8" w:rsidP="009205E8"/>
    <w:p w14:paraId="2241A738" w14:textId="77777777" w:rsidR="009205E8" w:rsidRPr="006135AC" w:rsidRDefault="009205E8" w:rsidP="009205E8">
      <w:pPr>
        <w:rPr>
          <w:b/>
          <w:bCs/>
          <w:u w:val="single"/>
        </w:rPr>
      </w:pPr>
      <w:r w:rsidRPr="006135AC">
        <w:rPr>
          <w:b/>
          <w:bCs/>
          <w:u w:val="single"/>
        </w:rPr>
        <w:t>Overview of the Framework</w:t>
      </w:r>
    </w:p>
    <w:p w14:paraId="4BB8D540" w14:textId="77777777" w:rsidR="009205E8" w:rsidRDefault="009205E8" w:rsidP="009205E8">
      <w:pPr>
        <w:rPr>
          <w:b/>
          <w:bCs/>
          <w:i/>
          <w:iCs/>
        </w:rPr>
      </w:pPr>
    </w:p>
    <w:p w14:paraId="0CD9E426" w14:textId="77777777" w:rsidR="009205E8" w:rsidRDefault="009205E8" w:rsidP="009205E8">
      <w:r>
        <w:t xml:space="preserve">The Net-Zero Framework (NZF) sets out </w:t>
      </w:r>
      <w:r w:rsidRPr="00932190">
        <w:t xml:space="preserve">GHG </w:t>
      </w:r>
      <w:r>
        <w:t xml:space="preserve">fuel </w:t>
      </w:r>
      <w:r w:rsidRPr="00932190">
        <w:t xml:space="preserve">intensity </w:t>
      </w:r>
      <w:r>
        <w:t xml:space="preserve">(GFI) </w:t>
      </w:r>
      <w:r w:rsidRPr="00932190">
        <w:t>requirements</w:t>
      </w:r>
      <w:r>
        <w:t xml:space="preserve"> for marine fuels which become increasingly stringent over time as</w:t>
      </w:r>
      <w:r w:rsidRPr="00CB72EF">
        <w:t xml:space="preserve"> </w:t>
      </w:r>
      <w:r>
        <w:t>illustrated in Figure 1.   GHG emissions above the GFI requirements are subject to two-tiered pricing with revenues going towards rewards for the use of zero, or near zero (ZNZ) GHG emissions fuels and more general support for the NZF.</w:t>
      </w:r>
    </w:p>
    <w:p w14:paraId="1E124EDD" w14:textId="77777777" w:rsidR="009205E8" w:rsidRDefault="009205E8" w:rsidP="009205E8"/>
    <w:p w14:paraId="3F682B95" w14:textId="77777777" w:rsidR="009205E8" w:rsidRDefault="009205E8" w:rsidP="009205E8">
      <w:pPr>
        <w:rPr>
          <w:b/>
          <w:bCs/>
          <w:i/>
          <w:iCs/>
        </w:rPr>
      </w:pPr>
      <w:r w:rsidRPr="007F71DD">
        <w:rPr>
          <w:b/>
          <w:bCs/>
          <w:i/>
          <w:iCs/>
        </w:rPr>
        <w:t>Figure 1. IMO Net-Zero Framework</w:t>
      </w:r>
    </w:p>
    <w:p w14:paraId="1A5CCEEB" w14:textId="77777777" w:rsidR="009205E8" w:rsidRDefault="009205E8" w:rsidP="009205E8">
      <w:pPr>
        <w:rPr>
          <w:b/>
          <w:bCs/>
          <w:i/>
          <w:iCs/>
        </w:rPr>
      </w:pPr>
      <w:r w:rsidRPr="00BB6B3F">
        <w:rPr>
          <w:b/>
          <w:bCs/>
          <w:i/>
          <w:iCs/>
          <w:noProof/>
        </w:rPr>
        <w:drawing>
          <wp:inline distT="0" distB="0" distL="0" distR="0" wp14:anchorId="71C5942D" wp14:editId="43D2792F">
            <wp:extent cx="5991225" cy="3387903"/>
            <wp:effectExtent l="0" t="0" r="0" b="3175"/>
            <wp:docPr id="471918908" name="Picture 1" descr="A graph with numbers and a li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918908" name="Picture 1" descr="A graph with numbers and a line&#10;&#10;AI-generated content may be incorrect."/>
                    <pic:cNvPicPr/>
                  </pic:nvPicPr>
                  <pic:blipFill>
                    <a:blip r:embed="rId7"/>
                    <a:stretch>
                      <a:fillRect/>
                    </a:stretch>
                  </pic:blipFill>
                  <pic:spPr>
                    <a:xfrm>
                      <a:off x="0" y="0"/>
                      <a:ext cx="5998586" cy="3392065"/>
                    </a:xfrm>
                    <a:prstGeom prst="rect">
                      <a:avLst/>
                    </a:prstGeom>
                  </pic:spPr>
                </pic:pic>
              </a:graphicData>
            </a:graphic>
          </wp:inline>
        </w:drawing>
      </w:r>
    </w:p>
    <w:p w14:paraId="757AD466" w14:textId="77777777" w:rsidR="009205E8" w:rsidRDefault="009205E8" w:rsidP="009205E8">
      <w:pPr>
        <w:rPr>
          <w:b/>
          <w:bCs/>
          <w:i/>
          <w:iCs/>
        </w:rPr>
      </w:pPr>
    </w:p>
    <w:p w14:paraId="043354C1" w14:textId="77777777" w:rsidR="009205E8" w:rsidRDefault="009205E8" w:rsidP="009205E8">
      <w:pPr>
        <w:rPr>
          <w:b/>
          <w:bCs/>
          <w:i/>
          <w:iCs/>
        </w:rPr>
      </w:pPr>
    </w:p>
    <w:p w14:paraId="404721CB" w14:textId="77777777" w:rsidR="009205E8" w:rsidRDefault="009205E8" w:rsidP="009205E8">
      <w:pPr>
        <w:rPr>
          <w:b/>
          <w:bCs/>
          <w:i/>
          <w:iCs/>
        </w:rPr>
      </w:pPr>
    </w:p>
    <w:p w14:paraId="03E82CA3" w14:textId="77777777" w:rsidR="009205E8" w:rsidRPr="007F71DD" w:rsidRDefault="009205E8" w:rsidP="009205E8">
      <w:pPr>
        <w:rPr>
          <w:b/>
          <w:bCs/>
          <w:i/>
          <w:iCs/>
        </w:rPr>
      </w:pPr>
    </w:p>
    <w:p w14:paraId="7D050C0E" w14:textId="77777777" w:rsidR="009205E8" w:rsidRDefault="009205E8" w:rsidP="009205E8">
      <w:r>
        <w:rPr>
          <w:noProof/>
        </w:rPr>
        <mc:AlternateContent>
          <mc:Choice Requires="wps">
            <w:drawing>
              <wp:anchor distT="0" distB="0" distL="114300" distR="114300" simplePos="0" relativeHeight="251659264" behindDoc="0" locked="0" layoutInCell="1" allowOverlap="1" wp14:anchorId="7C7FDD0F" wp14:editId="5050723F">
                <wp:simplePos x="0" y="0"/>
                <wp:positionH relativeFrom="column">
                  <wp:posOffset>-136384</wp:posOffset>
                </wp:positionH>
                <wp:positionV relativeFrom="paragraph">
                  <wp:posOffset>147320</wp:posOffset>
                </wp:positionV>
                <wp:extent cx="5962650" cy="4419600"/>
                <wp:effectExtent l="0" t="0" r="19050" b="12700"/>
                <wp:wrapNone/>
                <wp:docPr id="1321064899" name="Rectangle 3"/>
                <wp:cNvGraphicFramePr/>
                <a:graphic xmlns:a="http://schemas.openxmlformats.org/drawingml/2006/main">
                  <a:graphicData uri="http://schemas.microsoft.com/office/word/2010/wordprocessingShape">
                    <wps:wsp>
                      <wps:cNvSpPr/>
                      <wps:spPr>
                        <a:xfrm>
                          <a:off x="0" y="0"/>
                          <a:ext cx="5962650" cy="44196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1CAFA0" id="Rectangle 3" o:spid="_x0000_s1026" style="position:absolute;margin-left:-10.75pt;margin-top:11.6pt;width:469.5pt;height:3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" filled="f" strokecolor="black [3213]" strokeweight="1pt"/>
            </w:pict>
          </mc:Fallback>
        </mc:AlternateContent>
      </w:r>
    </w:p>
    <w:p w14:paraId="45AC60AF" w14:textId="77777777" w:rsidR="009205E8" w:rsidRPr="00552235" w:rsidRDefault="009205E8" w:rsidP="009205E8">
      <w:r>
        <w:t xml:space="preserve">The regulation sets two </w:t>
      </w:r>
      <w:r w:rsidRPr="00552235">
        <w:t xml:space="preserve">tiers of requirement </w:t>
      </w:r>
      <w:r>
        <w:t xml:space="preserve">for the </w:t>
      </w:r>
      <w:r w:rsidRPr="00552235">
        <w:t xml:space="preserve">annual attained </w:t>
      </w:r>
      <w:r>
        <w:t>G</w:t>
      </w:r>
      <w:r w:rsidRPr="00552235">
        <w:t xml:space="preserve">FI for a </w:t>
      </w:r>
      <w:r>
        <w:t>vessel</w:t>
      </w:r>
      <w:r w:rsidRPr="00552235">
        <w:t xml:space="preserve">: a </w:t>
      </w:r>
      <w:r w:rsidRPr="00552235">
        <w:rPr>
          <w:b/>
          <w:bCs/>
        </w:rPr>
        <w:t>Base target</w:t>
      </w:r>
      <w:r w:rsidRPr="00552235">
        <w:t xml:space="preserve"> and a more stringent </w:t>
      </w:r>
      <w:r w:rsidRPr="00552235">
        <w:rPr>
          <w:b/>
          <w:bCs/>
        </w:rPr>
        <w:t>Direct Compliance target</w:t>
      </w:r>
      <w:r>
        <w:t>.  Both targets are measured on a Well-to-Wake basis.</w:t>
      </w:r>
    </w:p>
    <w:p w14:paraId="0105ED20" w14:textId="77777777" w:rsidR="009205E8" w:rsidRDefault="009205E8" w:rsidP="009205E8">
      <w:pPr>
        <w:rPr>
          <w:b/>
          <w:bCs/>
          <w:i/>
          <w:iCs/>
        </w:rPr>
      </w:pPr>
    </w:p>
    <w:p w14:paraId="5B66860B" w14:textId="77777777" w:rsidR="009205E8" w:rsidRPr="001463B5" w:rsidRDefault="009205E8" w:rsidP="009205E8">
      <w:pPr>
        <w:rPr>
          <w:b/>
          <w:bCs/>
        </w:rPr>
      </w:pPr>
      <w:r w:rsidRPr="001463B5">
        <w:t xml:space="preserve">Vessels with a GFI above the Base target </w:t>
      </w:r>
      <w:r>
        <w:t xml:space="preserve">generate </w:t>
      </w:r>
      <w:r w:rsidRPr="001463B5">
        <w:t>both Tier 1 and Tier 2 compliance deficits. Vessels with a GFI between the Direct and Base targets generate only a Tier 1 compliance deficit</w:t>
      </w:r>
      <w:r>
        <w:t xml:space="preserve">.  Finally, vessels with a GFI below the Direct target receive </w:t>
      </w:r>
      <w:r w:rsidRPr="001463B5">
        <w:rPr>
          <w:b/>
          <w:bCs/>
        </w:rPr>
        <w:t>Surplus Units.</w:t>
      </w:r>
    </w:p>
    <w:p w14:paraId="07312E4A" w14:textId="77777777" w:rsidR="009205E8" w:rsidRDefault="009205E8" w:rsidP="009205E8">
      <w:pPr>
        <w:rPr>
          <w:b/>
          <w:bCs/>
          <w:i/>
          <w:iCs/>
        </w:rPr>
      </w:pPr>
    </w:p>
    <w:p w14:paraId="04C9871B" w14:textId="77777777" w:rsidR="009205E8" w:rsidRDefault="009205E8" w:rsidP="009205E8">
      <w:r w:rsidRPr="001463B5">
        <w:t>Tier 1 compliance deficit</w:t>
      </w:r>
      <w:r>
        <w:t>s</w:t>
      </w:r>
      <w:r w:rsidRPr="001463B5">
        <w:t xml:space="preserve"> </w:t>
      </w:r>
      <w:r>
        <w:t xml:space="preserve">need to be compensated by Tier 1 </w:t>
      </w:r>
      <w:r w:rsidRPr="001463B5">
        <w:rPr>
          <w:b/>
          <w:bCs/>
        </w:rPr>
        <w:t xml:space="preserve">Remedial </w:t>
      </w:r>
      <w:r>
        <w:rPr>
          <w:b/>
          <w:bCs/>
        </w:rPr>
        <w:t>U</w:t>
      </w:r>
      <w:r w:rsidRPr="001463B5">
        <w:rPr>
          <w:b/>
          <w:bCs/>
        </w:rPr>
        <w:t>nits</w:t>
      </w:r>
      <w:r>
        <w:t xml:space="preserve"> which are priced at US$100 per tonne of CO2eq. Tier 2 </w:t>
      </w:r>
      <w:r w:rsidRPr="001463B5">
        <w:t>compliance deficit</w:t>
      </w:r>
      <w:r>
        <w:t>s</w:t>
      </w:r>
      <w:r w:rsidRPr="001463B5">
        <w:t xml:space="preserve"> </w:t>
      </w:r>
      <w:r>
        <w:t>must be compensated by Surplus Units generated by other vessels or by Tier 2 Remedial units, priced at US$380 per tonne of CO2eq.  The cost of remedial units is due to be reviewed in 2028.</w:t>
      </w:r>
    </w:p>
    <w:p w14:paraId="4250CF74" w14:textId="77777777" w:rsidR="009205E8" w:rsidRDefault="009205E8" w:rsidP="009205E8"/>
    <w:p w14:paraId="31337B45" w14:textId="77777777" w:rsidR="009205E8" w:rsidRDefault="009205E8" w:rsidP="009205E8">
      <w:r>
        <w:t>Surplus Units enable compliance pooling as they can be transferred once to a vessel with a Tier 2 Compliance deficit. They may also be banked later use (within two years), or they can be cancelled as a voluntary mitigation contribution.</w:t>
      </w:r>
    </w:p>
    <w:p w14:paraId="1F0CCFA6" w14:textId="77777777" w:rsidR="009205E8" w:rsidRDefault="009205E8" w:rsidP="009205E8"/>
    <w:p w14:paraId="4986D504" w14:textId="77777777" w:rsidR="009205E8" w:rsidRPr="003F37EC" w:rsidRDefault="009205E8" w:rsidP="009205E8">
      <w:r>
        <w:t xml:space="preserve">Proceeds from the sale of Remedial Units will go to the </w:t>
      </w:r>
      <w:r w:rsidRPr="008E04E9">
        <w:rPr>
          <w:b/>
          <w:bCs/>
        </w:rPr>
        <w:t>IMO Net-Zero Fund</w:t>
      </w:r>
      <w:r>
        <w:t xml:space="preserve">, to be set up and managed by the IMO.  Part of the revenues will go towards rewards for the use of zero, and near zero (ZNZ) GHG emission fuels. The </w:t>
      </w:r>
      <w:r w:rsidRPr="00265E81">
        <w:t xml:space="preserve">ZNZ GFI threshold </w:t>
      </w:r>
      <w:r>
        <w:t xml:space="preserve">is set </w:t>
      </w:r>
      <w:r w:rsidRPr="00265E81">
        <w:t>at 19gCO2e/MJ until 2035, and 14gCO2e/MJ from 2035 onwards</w:t>
      </w:r>
      <w:r>
        <w:t xml:space="preserve">. The </w:t>
      </w:r>
      <w:r w:rsidRPr="00D77FDE">
        <w:rPr>
          <w:b/>
          <w:bCs/>
        </w:rPr>
        <w:t xml:space="preserve">ZNZ </w:t>
      </w:r>
      <w:r w:rsidRPr="006135AC">
        <w:rPr>
          <w:b/>
          <w:bCs/>
        </w:rPr>
        <w:t xml:space="preserve">Reward Mechanism </w:t>
      </w:r>
      <w:r>
        <w:t>will not be decided until March 2027.</w:t>
      </w:r>
    </w:p>
    <w:p w14:paraId="54A6DFC1" w14:textId="77777777" w:rsidR="009205E8" w:rsidRPr="001463B5" w:rsidRDefault="009205E8" w:rsidP="009205E8"/>
    <w:p w14:paraId="20E2DF22" w14:textId="77777777" w:rsidR="009205E8" w:rsidRDefault="009205E8" w:rsidP="009205E8"/>
    <w:p w14:paraId="3A96E408" w14:textId="77777777" w:rsidR="009205E8" w:rsidRDefault="009205E8" w:rsidP="009205E8">
      <w:r>
        <w:t>The following initial conclusions can be drawn from the Framework:</w:t>
      </w:r>
    </w:p>
    <w:p w14:paraId="49B6E817" w14:textId="77777777" w:rsidR="009205E8" w:rsidRDefault="009205E8" w:rsidP="009205E8"/>
    <w:p w14:paraId="08F28463" w14:textId="77777777" w:rsidR="009205E8" w:rsidRDefault="009205E8" w:rsidP="009205E8">
      <w:pPr>
        <w:pStyle w:val="ListParagraph"/>
        <w:numPr>
          <w:ilvl w:val="0"/>
          <w:numId w:val="1"/>
        </w:numPr>
      </w:pPr>
      <w:r>
        <w:t xml:space="preserve">All traditional marine fuels will </w:t>
      </w:r>
      <w:proofErr w:type="gramStart"/>
      <w:r>
        <w:t>be in compliance</w:t>
      </w:r>
      <w:proofErr w:type="gramEnd"/>
      <w:r>
        <w:t xml:space="preserve"> deficit from Day 1 with the likely exception of LNG used in the high pressure 2-stroke engine technologies which make up </w:t>
      </w:r>
      <w:proofErr w:type="gramStart"/>
      <w:r>
        <w:t>the majority of</w:t>
      </w:r>
      <w:proofErr w:type="gramEnd"/>
      <w:r>
        <w:t xml:space="preserve"> the order book.</w:t>
      </w:r>
    </w:p>
    <w:p w14:paraId="5ACD8F1F" w14:textId="77777777" w:rsidR="009205E8" w:rsidRDefault="009205E8" w:rsidP="009205E8">
      <w:pPr>
        <w:pStyle w:val="ListParagraph"/>
        <w:numPr>
          <w:ilvl w:val="0"/>
          <w:numId w:val="1"/>
        </w:numPr>
      </w:pPr>
      <w:r>
        <w:t>The use of LNG will enable a lower cost of compliance compared with VLSFO as it will require significantly fewer Tier 1 and Tier 2 Remedial Units.</w:t>
      </w:r>
    </w:p>
    <w:p w14:paraId="1AF88B34" w14:textId="77777777" w:rsidR="009205E8" w:rsidRDefault="009205E8" w:rsidP="009205E8">
      <w:pPr>
        <w:pStyle w:val="ListParagraph"/>
        <w:numPr>
          <w:ilvl w:val="0"/>
          <w:numId w:val="1"/>
        </w:numPr>
      </w:pPr>
      <w:r>
        <w:t>Vessels powered by the best performing LNG high pressure engines may not need to pay penalties until 2030, generating Surplus Units until this date, and not exceed the Base target until after 2034.</w:t>
      </w:r>
    </w:p>
    <w:p w14:paraId="4C0115CB" w14:textId="77777777" w:rsidR="009205E8" w:rsidRDefault="009205E8" w:rsidP="009205E8">
      <w:pPr>
        <w:pStyle w:val="ListParagraph"/>
        <w:numPr>
          <w:ilvl w:val="0"/>
          <w:numId w:val="1"/>
        </w:numPr>
      </w:pPr>
      <w:r>
        <w:t>Given that fossil ammonia and methanol have significantly higher GFIs than VLSFO, then ammonia and methanol dual fuel vessels will initially operate on VLSFO, achieving compliance with biofuels.  A switch to ‘green’ versions of these fuels will not happen until they are cheaper than biofuels.</w:t>
      </w:r>
    </w:p>
    <w:p w14:paraId="60ADE6A9" w14:textId="77777777" w:rsidR="009205E8" w:rsidRDefault="009205E8" w:rsidP="009205E8">
      <w:pPr>
        <w:pStyle w:val="ListParagraph"/>
        <w:numPr>
          <w:ilvl w:val="0"/>
          <w:numId w:val="1"/>
        </w:numPr>
      </w:pPr>
      <w:r>
        <w:t>The Reward Mechanism could have a major impact on the ‘net cost’ of zero and green fuels such as some biogas-derived fuels such as biomethane and e-fuels, including e-methane, e-ammonia and e-methanol.</w:t>
      </w:r>
    </w:p>
    <w:p w14:paraId="0A76BA0A" w14:textId="77777777" w:rsidR="009205E8" w:rsidRDefault="009205E8" w:rsidP="009205E8">
      <w:pPr>
        <w:rPr>
          <w:b/>
          <w:bCs/>
          <w:i/>
          <w:iCs/>
        </w:rPr>
      </w:pPr>
    </w:p>
    <w:p w14:paraId="07CBC08B" w14:textId="77777777" w:rsidR="009205E8" w:rsidRDefault="009205E8" w:rsidP="009205E8">
      <w:pPr>
        <w:rPr>
          <w:b/>
          <w:bCs/>
          <w:i/>
          <w:iCs/>
        </w:rPr>
      </w:pPr>
    </w:p>
    <w:p w14:paraId="2EA63CBC" w14:textId="77777777" w:rsidR="009205E8" w:rsidRDefault="009205E8" w:rsidP="009205E8">
      <w:pPr>
        <w:rPr>
          <w:b/>
          <w:bCs/>
        </w:rPr>
      </w:pPr>
    </w:p>
    <w:p w14:paraId="3A74C087" w14:textId="77777777" w:rsidR="009205E8" w:rsidRPr="00F10D0C" w:rsidRDefault="009205E8" w:rsidP="009205E8">
      <w:pPr>
        <w:rPr>
          <w:b/>
          <w:bCs/>
          <w:u w:val="single"/>
        </w:rPr>
      </w:pPr>
      <w:r w:rsidRPr="00F10D0C">
        <w:rPr>
          <w:b/>
          <w:bCs/>
          <w:u w:val="single"/>
        </w:rPr>
        <w:t>Analysis</w:t>
      </w:r>
    </w:p>
    <w:p w14:paraId="2C0AD8C8" w14:textId="77777777" w:rsidR="009205E8" w:rsidRDefault="009205E8" w:rsidP="009205E8">
      <w:pPr>
        <w:rPr>
          <w:b/>
          <w:bCs/>
        </w:rPr>
      </w:pPr>
    </w:p>
    <w:p w14:paraId="372B2D0D" w14:textId="77777777" w:rsidR="009205E8" w:rsidRDefault="009205E8" w:rsidP="009205E8">
      <w:r>
        <w:t>SEA-LNG has undertaken some initial analysis on the commercial implications of the Net-Zero Framework using Z-Joule cost of compliance calculator</w:t>
      </w:r>
      <w:r>
        <w:rPr>
          <w:rStyle w:val="FootnoteReference"/>
        </w:rPr>
        <w:footnoteReference w:id="1"/>
      </w:r>
      <w:r>
        <w:t>.  It analysed the investment case for a 14,000 TEU container vessels operating a trans-Pacific route, from Japan to the US West Coast. It compared LNG, ammonia and methanol dual fuel vessels against a vessel fuelled by VLSFO over a 15-year investment period.</w:t>
      </w:r>
    </w:p>
    <w:p w14:paraId="0E6C0EA3" w14:textId="77777777" w:rsidR="009205E8" w:rsidRDefault="009205E8" w:rsidP="009205E8"/>
    <w:p w14:paraId="627A3E8E" w14:textId="77777777" w:rsidR="009205E8" w:rsidRDefault="009205E8" w:rsidP="009205E8">
      <w:r>
        <w:t>The economics of c</w:t>
      </w:r>
      <w:r w:rsidRPr="003F37EC">
        <w:t xml:space="preserve">ost of </w:t>
      </w:r>
      <w:r>
        <w:t>the</w:t>
      </w:r>
      <w:r w:rsidRPr="003F37EC">
        <w:t xml:space="preserve"> different fuel pathways </w:t>
      </w:r>
      <w:r>
        <w:t>are</w:t>
      </w:r>
      <w:r w:rsidRPr="003F37EC">
        <w:t xml:space="preserve"> driven by </w:t>
      </w:r>
      <w:proofErr w:type="spellStart"/>
      <w:r>
        <w:t>CapEx</w:t>
      </w:r>
      <w:proofErr w:type="spellEnd"/>
      <w:r>
        <w:t>, the carbon intensity of the fuels, and the fuel price.  For both fuel price forecasts and carbon intensity values, SEA-LNG used DNV assumptions from their analysis of candidate GHG reduction mid-term measures for the IMO for MEPC 82</w:t>
      </w:r>
      <w:r>
        <w:rPr>
          <w:rStyle w:val="FootnoteReference"/>
        </w:rPr>
        <w:footnoteReference w:id="2"/>
      </w:r>
      <w:r>
        <w:t xml:space="preserve">. </w:t>
      </w:r>
    </w:p>
    <w:p w14:paraId="06BEC866" w14:textId="77777777" w:rsidR="009205E8" w:rsidRDefault="009205E8" w:rsidP="009205E8"/>
    <w:p w14:paraId="601A995D" w14:textId="77777777" w:rsidR="009205E8" w:rsidRDefault="009205E8" w:rsidP="009205E8">
      <w:r>
        <w:t xml:space="preserve">The price forecasts used are illustrated in Table 1.  </w:t>
      </w:r>
    </w:p>
    <w:p w14:paraId="777A7A58" w14:textId="77777777" w:rsidR="009205E8" w:rsidRDefault="009205E8" w:rsidP="009205E8"/>
    <w:p w14:paraId="30B481F3" w14:textId="77777777" w:rsidR="009205E8" w:rsidRPr="007F71DD" w:rsidRDefault="009205E8" w:rsidP="009205E8">
      <w:pPr>
        <w:rPr>
          <w:b/>
          <w:bCs/>
          <w:i/>
          <w:iCs/>
        </w:rPr>
      </w:pPr>
      <w:r>
        <w:rPr>
          <w:b/>
          <w:bCs/>
          <w:i/>
          <w:iCs/>
        </w:rPr>
        <w:t>Table 1</w:t>
      </w:r>
      <w:r w:rsidRPr="007F71DD">
        <w:rPr>
          <w:b/>
          <w:bCs/>
          <w:i/>
          <w:iCs/>
        </w:rPr>
        <w:t>. Fuel price forecasts</w:t>
      </w:r>
    </w:p>
    <w:p w14:paraId="17EA040C" w14:textId="77777777" w:rsidR="009205E8" w:rsidRDefault="009205E8" w:rsidP="009205E8"/>
    <w:p w14:paraId="07A9FFC1" w14:textId="77777777" w:rsidR="009205E8" w:rsidRDefault="009205E8" w:rsidP="009205E8">
      <w:r w:rsidRPr="007A46EA">
        <w:rPr>
          <w:noProof/>
        </w:rPr>
        <w:drawing>
          <wp:inline distT="0" distB="0" distL="0" distR="0" wp14:anchorId="393BC702" wp14:editId="454E75B0">
            <wp:extent cx="5731510" cy="4102100"/>
            <wp:effectExtent l="0" t="0" r="2540" b="0"/>
            <wp:docPr id="7354109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4102100"/>
                    </a:xfrm>
                    <a:prstGeom prst="rect">
                      <a:avLst/>
                    </a:prstGeom>
                    <a:noFill/>
                    <a:ln>
                      <a:noFill/>
                    </a:ln>
                  </pic:spPr>
                </pic:pic>
              </a:graphicData>
            </a:graphic>
          </wp:inline>
        </w:drawing>
      </w:r>
    </w:p>
    <w:p w14:paraId="1FC535DA" w14:textId="77777777" w:rsidR="009205E8" w:rsidRDefault="009205E8" w:rsidP="009205E8">
      <w:r>
        <w:t>Further assumptions on which the analysis is based are detailed in Annex Table A1.</w:t>
      </w:r>
    </w:p>
    <w:p w14:paraId="6BAFC283" w14:textId="77777777" w:rsidR="009205E8" w:rsidRDefault="009205E8" w:rsidP="009205E8">
      <w:pPr>
        <w:rPr>
          <w:b/>
          <w:bCs/>
        </w:rPr>
      </w:pPr>
    </w:p>
    <w:p w14:paraId="50C5FF05" w14:textId="77777777" w:rsidR="009205E8" w:rsidRPr="003F37EC" w:rsidRDefault="009205E8" w:rsidP="009205E8">
      <w:r w:rsidRPr="00F10D0C">
        <w:lastRenderedPageBreak/>
        <w:t xml:space="preserve">It should be </w:t>
      </w:r>
      <w:proofErr w:type="gramStart"/>
      <w:r w:rsidRPr="00F10D0C">
        <w:t>noted,</w:t>
      </w:r>
      <w:proofErr w:type="gramEnd"/>
      <w:r w:rsidRPr="00F10D0C">
        <w:t xml:space="preserve"> the analysis did not </w:t>
      </w:r>
      <w:proofErr w:type="gramStart"/>
      <w:r w:rsidRPr="00F10D0C">
        <w:t>take into account</w:t>
      </w:r>
      <w:proofErr w:type="gramEnd"/>
      <w:r w:rsidRPr="00F10D0C">
        <w:t xml:space="preserve"> the</w:t>
      </w:r>
      <w:r>
        <w:t xml:space="preserve"> ZNZ</w:t>
      </w:r>
      <w:r w:rsidRPr="00F10D0C">
        <w:t xml:space="preserve"> </w:t>
      </w:r>
      <w:r>
        <w:t>Reward Mechanism as this will not be decided until March 2027.</w:t>
      </w:r>
    </w:p>
    <w:p w14:paraId="4028EEF0" w14:textId="77777777" w:rsidR="009205E8" w:rsidRDefault="009205E8" w:rsidP="009205E8">
      <w:pPr>
        <w:rPr>
          <w:b/>
          <w:bCs/>
        </w:rPr>
      </w:pPr>
    </w:p>
    <w:p w14:paraId="7D633F3B" w14:textId="77777777" w:rsidR="009205E8" w:rsidRDefault="009205E8" w:rsidP="009205E8">
      <w:pPr>
        <w:rPr>
          <w:b/>
          <w:bCs/>
        </w:rPr>
      </w:pPr>
    </w:p>
    <w:p w14:paraId="637DB6AA" w14:textId="77777777" w:rsidR="009205E8" w:rsidRPr="00F10D0C" w:rsidRDefault="009205E8" w:rsidP="009205E8">
      <w:pPr>
        <w:rPr>
          <w:b/>
          <w:bCs/>
          <w:u w:val="single"/>
        </w:rPr>
      </w:pPr>
      <w:r w:rsidRPr="00F10D0C">
        <w:rPr>
          <w:b/>
          <w:bCs/>
          <w:u w:val="single"/>
        </w:rPr>
        <w:t>Analysis results</w:t>
      </w:r>
    </w:p>
    <w:p w14:paraId="68D577BD" w14:textId="77777777" w:rsidR="009205E8" w:rsidRDefault="009205E8" w:rsidP="009205E8"/>
    <w:p w14:paraId="605F81A6" w14:textId="77777777" w:rsidR="009205E8" w:rsidRDefault="009205E8" w:rsidP="009205E8">
      <w:r>
        <w:t>In the analysis we have focused on the key metric of relative payback versus VLSFO, as illustrated in Figure 2. More detailed results are available in Annex Table A2.</w:t>
      </w:r>
    </w:p>
    <w:p w14:paraId="4AFD9E09" w14:textId="77777777" w:rsidR="009205E8" w:rsidRDefault="009205E8" w:rsidP="009205E8"/>
    <w:p w14:paraId="7EA4AC36" w14:textId="77777777" w:rsidR="009205E8" w:rsidRPr="00F10D0C" w:rsidRDefault="009205E8" w:rsidP="009205E8">
      <w:pPr>
        <w:rPr>
          <w:b/>
          <w:bCs/>
          <w:i/>
          <w:iCs/>
        </w:rPr>
      </w:pPr>
      <w:r w:rsidRPr="00F10D0C">
        <w:rPr>
          <w:b/>
          <w:bCs/>
          <w:i/>
          <w:iCs/>
        </w:rPr>
        <w:t>Figure 2. Relative payback by fuel type</w:t>
      </w:r>
    </w:p>
    <w:p w14:paraId="0E6F97DE" w14:textId="77777777" w:rsidR="009205E8" w:rsidRDefault="009205E8" w:rsidP="009205E8">
      <w:r w:rsidRPr="00F10D0C">
        <w:rPr>
          <w:noProof/>
        </w:rPr>
        <w:drawing>
          <wp:inline distT="0" distB="0" distL="0" distR="0" wp14:anchorId="6E05B23B" wp14:editId="6B9384B5">
            <wp:extent cx="5731510" cy="3843020"/>
            <wp:effectExtent l="0" t="0" r="2540" b="5080"/>
            <wp:docPr id="25274306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3843020"/>
                    </a:xfrm>
                    <a:prstGeom prst="rect">
                      <a:avLst/>
                    </a:prstGeom>
                    <a:noFill/>
                    <a:ln>
                      <a:noFill/>
                    </a:ln>
                  </pic:spPr>
                </pic:pic>
              </a:graphicData>
            </a:graphic>
          </wp:inline>
        </w:drawing>
      </w:r>
    </w:p>
    <w:p w14:paraId="6A21EA0D" w14:textId="77777777" w:rsidR="009205E8" w:rsidRDefault="009205E8" w:rsidP="009205E8"/>
    <w:p w14:paraId="321CDCB9" w14:textId="77777777" w:rsidR="009205E8" w:rsidRDefault="009205E8" w:rsidP="009205E8"/>
    <w:p w14:paraId="184C838B" w14:textId="77777777" w:rsidR="009205E8" w:rsidRDefault="009205E8" w:rsidP="009205E8">
      <w:r>
        <w:t xml:space="preserve">As can be seen, both high-pressure and low-pressure </w:t>
      </w:r>
      <w:r w:rsidRPr="008E04E9">
        <w:t>LNG</w:t>
      </w:r>
      <w:r>
        <w:t xml:space="preserve"> dual fuel engines offer a relative payback period of about 4.5 to 5 years compared with VLSFO because of lower compliance costs due to LNG’s lower carbon intensity, or GFI.  Ammonia and Methanol fuelled vessels do not payback over the 15-year investment horizon.  In a scenario where biofuels are scarce, i.e. extremely expensive, then ammonia and methanol fuelled vessels offer a payback of 13 and 10 years, respectively driven by the fact that VLSFO vessels are forced to buy Remedial Units as their only effective means of compliance. It should be noted that, under the DNV GFIs used, neither of the LNG dual fuel engine technologies generated Surplus Units when using fossil LNG.</w:t>
      </w:r>
    </w:p>
    <w:p w14:paraId="4A5F3945" w14:textId="77777777" w:rsidR="009205E8" w:rsidRDefault="009205E8" w:rsidP="009205E8"/>
    <w:p w14:paraId="4224FABC" w14:textId="77777777" w:rsidR="009205E8" w:rsidRDefault="009205E8" w:rsidP="009205E8">
      <w:r>
        <w:t xml:space="preserve">SEA-LNG also modelled the investment case for a 14,000 TEU container vessel operating on the Rotterdam-Singapore trade route using the same fuel price forecasts.  In this case the vessel is subject to both IMO and EU decarbonisation regulations – the latter for 50% of the voyage.  Here the payback for LNG fuelled vessels reduced to about </w:t>
      </w:r>
      <w:r>
        <w:lastRenderedPageBreak/>
        <w:t xml:space="preserve">3.5 years mainly </w:t>
      </w:r>
      <w:proofErr w:type="gramStart"/>
      <w:r>
        <w:t>due to the effect</w:t>
      </w:r>
      <w:proofErr w:type="gramEnd"/>
      <w:r>
        <w:t xml:space="preserve"> of FuelEU Maritime in the early years of the analysis period.  Once again, ammonia and methanol fuelled vessels do not offer payback. In a biofuel-scarce scenario, payback of 12 and 9.5 years respectively is achieved by ammonia and methanol fuelled vessels.</w:t>
      </w:r>
    </w:p>
    <w:p w14:paraId="1FB3E301" w14:textId="77777777" w:rsidR="009205E8" w:rsidRDefault="009205E8" w:rsidP="009205E8"/>
    <w:p w14:paraId="531855A2" w14:textId="77777777" w:rsidR="009205E8" w:rsidRDefault="009205E8" w:rsidP="009205E8">
      <w:r>
        <w:t xml:space="preserve">Once the additional investment in an LNG dual fuel vessel has been paid back by about 2030, for an investment made today, the vessels offer a free option. This represents additional value to ship owners and their charter operators.  LNG dual fuel vessels </w:t>
      </w:r>
      <w:proofErr w:type="gramStart"/>
      <w:r>
        <w:t>are able to</w:t>
      </w:r>
      <w:proofErr w:type="gramEnd"/>
      <w:r>
        <w:t xml:space="preserve"> fuel switch between LNG, liquefied biomethane and e-methane, VLSFO, diesel and biodiesel depending on relative fuel prices and the associated GFIs. </w:t>
      </w:r>
    </w:p>
    <w:p w14:paraId="679A1180" w14:textId="77777777" w:rsidR="009205E8" w:rsidRDefault="009205E8" w:rsidP="009205E8"/>
    <w:p w14:paraId="1C9E39B0" w14:textId="77777777" w:rsidR="009205E8" w:rsidRDefault="009205E8" w:rsidP="009205E8">
      <w:r>
        <w:t xml:space="preserve">The regulation is complex to model and guidelines remain to be defined for the GFI, including the associated default emission factors, and the ZNZ Reward Mechanism.  Assuming the Reward Mechanism is designed in a technology neutral way, then this is unlikely to change the comparative advantage provided by the LNG pathway. </w:t>
      </w:r>
    </w:p>
    <w:p w14:paraId="7D17D4C6" w14:textId="77777777" w:rsidR="009205E8" w:rsidRDefault="009205E8" w:rsidP="009205E8"/>
    <w:p w14:paraId="164AA6D8" w14:textId="77777777" w:rsidR="009205E8" w:rsidRDefault="009205E8" w:rsidP="009205E8"/>
    <w:p w14:paraId="48EF6A22" w14:textId="77777777" w:rsidR="009205E8" w:rsidRPr="00F10D0C" w:rsidRDefault="009205E8" w:rsidP="009205E8">
      <w:pPr>
        <w:rPr>
          <w:b/>
          <w:bCs/>
          <w:u w:val="single"/>
        </w:rPr>
      </w:pPr>
      <w:r w:rsidRPr="00F10D0C">
        <w:rPr>
          <w:b/>
          <w:bCs/>
          <w:u w:val="single"/>
        </w:rPr>
        <w:t xml:space="preserve">Implications of </w:t>
      </w:r>
      <w:r>
        <w:rPr>
          <w:b/>
          <w:bCs/>
          <w:u w:val="single"/>
        </w:rPr>
        <w:t xml:space="preserve">the </w:t>
      </w:r>
      <w:r w:rsidRPr="00F10D0C">
        <w:rPr>
          <w:b/>
          <w:bCs/>
          <w:u w:val="single"/>
        </w:rPr>
        <w:t>N</w:t>
      </w:r>
      <w:r>
        <w:rPr>
          <w:b/>
          <w:bCs/>
          <w:u w:val="single"/>
        </w:rPr>
        <w:t>et-</w:t>
      </w:r>
      <w:r w:rsidRPr="00F10D0C">
        <w:rPr>
          <w:b/>
          <w:bCs/>
          <w:u w:val="single"/>
        </w:rPr>
        <w:t>Z</w:t>
      </w:r>
      <w:r>
        <w:rPr>
          <w:b/>
          <w:bCs/>
          <w:u w:val="single"/>
        </w:rPr>
        <w:t>ero</w:t>
      </w:r>
      <w:r w:rsidRPr="00F10D0C">
        <w:rPr>
          <w:b/>
          <w:bCs/>
          <w:u w:val="single"/>
        </w:rPr>
        <w:t xml:space="preserve"> Framework for </w:t>
      </w:r>
      <w:r>
        <w:rPr>
          <w:b/>
          <w:bCs/>
          <w:u w:val="single"/>
        </w:rPr>
        <w:t>maritime</w:t>
      </w:r>
      <w:r w:rsidRPr="00F10D0C">
        <w:rPr>
          <w:b/>
          <w:bCs/>
          <w:u w:val="single"/>
        </w:rPr>
        <w:t xml:space="preserve"> decarbonisation</w:t>
      </w:r>
    </w:p>
    <w:p w14:paraId="23C78700" w14:textId="77777777" w:rsidR="009205E8" w:rsidRDefault="009205E8" w:rsidP="009205E8"/>
    <w:p w14:paraId="3892CD03" w14:textId="77777777" w:rsidR="009205E8" w:rsidRDefault="009205E8" w:rsidP="009205E8">
      <w:r>
        <w:rPr>
          <w:rFonts w:ascii="Aptos" w:hAnsi="Aptos"/>
          <w:color w:val="212121"/>
        </w:rPr>
        <w:t xml:space="preserve">The </w:t>
      </w:r>
      <w:r w:rsidRPr="00541B19">
        <w:rPr>
          <w:rFonts w:ascii="Aptos" w:hAnsi="Aptos"/>
          <w:color w:val="212121"/>
        </w:rPr>
        <w:t xml:space="preserve">decarbonisation framework </w:t>
      </w:r>
      <w:r>
        <w:rPr>
          <w:rFonts w:ascii="Aptos" w:hAnsi="Aptos"/>
          <w:color w:val="212121"/>
        </w:rPr>
        <w:t xml:space="preserve">provided by the IMO at MEPC 83 should </w:t>
      </w:r>
      <w:r w:rsidRPr="00541B19">
        <w:rPr>
          <w:rFonts w:ascii="Aptos" w:hAnsi="Aptos"/>
          <w:color w:val="212121"/>
        </w:rPr>
        <w:t>enable all fuel pathways, be they LNG</w:t>
      </w:r>
      <w:r>
        <w:rPr>
          <w:rFonts w:ascii="Aptos" w:hAnsi="Aptos"/>
          <w:color w:val="212121"/>
        </w:rPr>
        <w:t xml:space="preserve"> (methane)</w:t>
      </w:r>
      <w:r w:rsidRPr="00541B19">
        <w:rPr>
          <w:rFonts w:ascii="Aptos" w:hAnsi="Aptos"/>
          <w:color w:val="212121"/>
        </w:rPr>
        <w:t>, methanol or ammonia, to compete on a level playing field.</w:t>
      </w:r>
      <w:r>
        <w:rPr>
          <w:rFonts w:ascii="Aptos" w:hAnsi="Aptos"/>
          <w:color w:val="212121"/>
        </w:rPr>
        <w:t xml:space="preserve"> However, the decarbonisation targets are extremely challenging.  </w:t>
      </w:r>
    </w:p>
    <w:p w14:paraId="72CFC6E6" w14:textId="77777777" w:rsidR="009205E8" w:rsidRDefault="009205E8" w:rsidP="009205E8"/>
    <w:p w14:paraId="280E6B74" w14:textId="77777777" w:rsidR="009205E8" w:rsidRDefault="009205E8" w:rsidP="009205E8">
      <w:r w:rsidRPr="00623180">
        <w:t>Th</w:t>
      </w:r>
      <w:r>
        <w:t xml:space="preserve">ere is a significant risk that the </w:t>
      </w:r>
      <w:r w:rsidRPr="00623180">
        <w:t xml:space="preserve">steep initial trajectories </w:t>
      </w:r>
      <w:r>
        <w:t xml:space="preserve">coupled with the limited ability to benefit from over-compliance through the generation and application of Surplus Units weakens the incentives for ship owners to invest in alternatively fuelled vessels. The relatively slow payback of the additional </w:t>
      </w:r>
      <w:proofErr w:type="spellStart"/>
      <w:r>
        <w:t>CapEx</w:t>
      </w:r>
      <w:proofErr w:type="spellEnd"/>
      <w:r>
        <w:t xml:space="preserve"> required for these new </w:t>
      </w:r>
      <w:proofErr w:type="gramStart"/>
      <w:r>
        <w:t>fuels</w:t>
      </w:r>
      <w:proofErr w:type="gramEnd"/>
      <w:r>
        <w:t xml:space="preserve"> tilts risk-reward perceptions, meaning that many ship owners are likely to continue to invest in VLSFO vessels, with the assumption that they will be able to use biofuels to comply.  </w:t>
      </w:r>
    </w:p>
    <w:p w14:paraId="4C3D0B65" w14:textId="77777777" w:rsidR="009205E8" w:rsidRDefault="009205E8" w:rsidP="009205E8"/>
    <w:p w14:paraId="5CEAFBC1" w14:textId="77777777" w:rsidR="009205E8" w:rsidRDefault="009205E8" w:rsidP="009205E8">
      <w:r>
        <w:t xml:space="preserve">The regulation needs to consider the journey and not simply the end goal. Weak incentives to invest in the underlying assets, such as dual fuel vessels and fuel delivery infrastructure, may lessen the potential contribution to decarbonisation of transitional, lower carbon solutions such as fossil LNG, blue ammonia and some biofuels. They are also likely to mean a much smaller future asset base in which ZNZ fuels can ultimately be deployed.  </w:t>
      </w:r>
    </w:p>
    <w:p w14:paraId="3DC901B1" w14:textId="77777777" w:rsidR="009205E8" w:rsidRDefault="009205E8" w:rsidP="009205E8"/>
    <w:p w14:paraId="6352B053" w14:textId="77777777" w:rsidR="009205E8" w:rsidRDefault="009205E8" w:rsidP="009205E8">
      <w:r>
        <w:t>By 2028, the date at which the regulations come into force, approximately 98% of global shipping fleet, excluding the LNG carrier fleet, will be conventionally fuelled. This fleet will need approximately 75Mt per annum of biodiesel, the most commonly available biofuel, to be compliant. Current global sustainable biodiesel production runs at about 15Mt per annum and these volumes are likely to be destined for aviation which can afford to pay more. The risk is that high biofuel prices lock the industry into a pay-to-pollute scenario, delaying decarbonisation.</w:t>
      </w:r>
    </w:p>
    <w:p w14:paraId="764355DD" w14:textId="77777777" w:rsidR="009205E8" w:rsidRDefault="009205E8" w:rsidP="009205E8"/>
    <w:p w14:paraId="1041E6D7" w14:textId="77777777" w:rsidR="009205E8" w:rsidRDefault="009205E8" w:rsidP="009205E8">
      <w:r>
        <w:lastRenderedPageBreak/>
        <w:t xml:space="preserve">From an LNG pathway perspective, the much smaller LNG fleet coupled with a relatively large (&gt;30Mtpa) and rapidly growing biogas / biomethane market is likely to result in a lower cost of compliance.  </w:t>
      </w:r>
    </w:p>
    <w:p w14:paraId="4B417AA1" w14:textId="77777777" w:rsidR="009205E8" w:rsidRDefault="009205E8" w:rsidP="009205E8"/>
    <w:p w14:paraId="2A0A58FE" w14:textId="77777777" w:rsidR="009205E8" w:rsidRDefault="009205E8" w:rsidP="009205E8">
      <w:r>
        <w:t xml:space="preserve">The way in which the ZNZ Reward Mechanism is structured will be critical for industry investment in both alternatively fuelled vessels and the fuels themselves. If we consider the different alternative fuel pathways, volumes of ZNZ fuels are currently extremely limited with perhaps the exception of biomethane where biomethane bunkering is taking place on a regular basis. This is unlikely to change significantly by 2028. The uncertainty over the level of ZNZ reward and its current limited duration (2028-2040) will make it difficult for fuel suppliers to commit to invest in green fuel production projects and the associated transportation and storage infrastructure. These projects typically require 15-to-20-year offtake agreements to make them bankable. This is less of an issue for the </w:t>
      </w:r>
      <w:r w:rsidRPr="006135AC">
        <w:t xml:space="preserve">LNG pathway </w:t>
      </w:r>
      <w:r>
        <w:t xml:space="preserve">because the bulk infrastructure required to move and store the fuels is well established with more than 480 </w:t>
      </w:r>
      <w:proofErr w:type="spellStart"/>
      <w:r>
        <w:t>MTpa</w:t>
      </w:r>
      <w:proofErr w:type="spellEnd"/>
      <w:r>
        <w:t xml:space="preserve"> liquefaction capacity and about 1,140 Mtpa regasification capacity.</w:t>
      </w:r>
    </w:p>
    <w:p w14:paraId="6A04CE54" w14:textId="77777777" w:rsidR="009205E8" w:rsidRPr="006135AC" w:rsidRDefault="009205E8" w:rsidP="009205E8"/>
    <w:p w14:paraId="556C6659" w14:textId="77777777" w:rsidR="009205E8" w:rsidRDefault="009205E8" w:rsidP="009205E8">
      <w:pPr>
        <w:rPr>
          <w:b/>
          <w:bCs/>
          <w:u w:val="single"/>
        </w:rPr>
      </w:pPr>
    </w:p>
    <w:p w14:paraId="3A9F4B82" w14:textId="77777777" w:rsidR="009205E8" w:rsidRPr="000639AF" w:rsidRDefault="009205E8" w:rsidP="009205E8">
      <w:pPr>
        <w:rPr>
          <w:b/>
          <w:bCs/>
          <w:u w:val="single"/>
        </w:rPr>
      </w:pPr>
      <w:r w:rsidRPr="000639AF">
        <w:rPr>
          <w:b/>
          <w:bCs/>
          <w:u w:val="single"/>
        </w:rPr>
        <w:t>Conclusions</w:t>
      </w:r>
    </w:p>
    <w:p w14:paraId="0C2098A4" w14:textId="77777777" w:rsidR="009205E8" w:rsidRDefault="009205E8" w:rsidP="009205E8">
      <w:pPr>
        <w:rPr>
          <w:b/>
          <w:bCs/>
          <w:i/>
          <w:iCs/>
        </w:rPr>
      </w:pPr>
    </w:p>
    <w:p w14:paraId="598C79F5" w14:textId="77777777" w:rsidR="009205E8" w:rsidRDefault="009205E8" w:rsidP="009205E8">
      <w:r>
        <w:t xml:space="preserve">Our initial analysis of the IMO’s Net-Zero framework shows that investments in </w:t>
      </w:r>
      <w:r w:rsidRPr="00D06789">
        <w:t xml:space="preserve">LNG </w:t>
      </w:r>
      <w:r>
        <w:t xml:space="preserve">dual fuel vessels are advantaged over other alternative fuels such as ammonia and methanol.  The relative payback period versus VLSFO is much shorter and once investment is recovered, by about 2030 for an investment made today, the LNG dual fuel technology offers significant commercial optionality through fuel-switching and the fact that it can leverage widespread, global infrastructure. </w:t>
      </w:r>
    </w:p>
    <w:p w14:paraId="7D2F968C" w14:textId="77777777" w:rsidR="009205E8" w:rsidRDefault="009205E8" w:rsidP="009205E8"/>
    <w:p w14:paraId="25AF844E" w14:textId="77777777" w:rsidR="009205E8" w:rsidRPr="008E04E9" w:rsidRDefault="009205E8" w:rsidP="009205E8">
      <w:r>
        <w:t>From an industry decarbonisation perspective, there is a risk that steep targets coupled with relatively weak investment signals locks the industry into a pay-to-pollute scenario and a smaller asset base into which ZNZ fuels can be deployed. Careful consideration will need to be given the design of the ZNZ Reward Mechanism - the IMO needs to facilitate the overall pathway to net-zero emissions.</w:t>
      </w:r>
    </w:p>
    <w:p w14:paraId="59735929" w14:textId="77777777" w:rsidR="009205E8" w:rsidRDefault="009205E8" w:rsidP="009205E8">
      <w:pPr>
        <w:jc w:val="center"/>
        <w:rPr>
          <w:b/>
          <w:bCs/>
        </w:rPr>
      </w:pPr>
      <w:r>
        <w:rPr>
          <w:b/>
          <w:bCs/>
        </w:rPr>
        <w:br/>
      </w:r>
    </w:p>
    <w:p w14:paraId="393055E8" w14:textId="77777777" w:rsidR="009205E8" w:rsidRDefault="009205E8" w:rsidP="009205E8">
      <w:pPr>
        <w:rPr>
          <w:b/>
          <w:bCs/>
        </w:rPr>
      </w:pPr>
      <w:r>
        <w:rPr>
          <w:b/>
          <w:bCs/>
        </w:rPr>
        <w:br w:type="page"/>
      </w:r>
    </w:p>
    <w:p w14:paraId="0E5C8139" w14:textId="77777777" w:rsidR="009205E8" w:rsidRPr="00BF5276" w:rsidRDefault="009205E8" w:rsidP="009205E8">
      <w:pPr>
        <w:jc w:val="center"/>
        <w:rPr>
          <w:b/>
          <w:bCs/>
        </w:rPr>
      </w:pPr>
      <w:r w:rsidRPr="00BF5276">
        <w:rPr>
          <w:b/>
          <w:bCs/>
        </w:rPr>
        <w:lastRenderedPageBreak/>
        <w:t>Annex</w:t>
      </w:r>
      <w:r>
        <w:rPr>
          <w:b/>
          <w:bCs/>
        </w:rPr>
        <w:t xml:space="preserve"> A</w:t>
      </w:r>
      <w:r w:rsidRPr="00BF5276">
        <w:rPr>
          <w:b/>
          <w:bCs/>
        </w:rPr>
        <w:t>: Investment Case Assumptions</w:t>
      </w:r>
      <w:r>
        <w:rPr>
          <w:b/>
          <w:bCs/>
        </w:rPr>
        <w:t xml:space="preserve"> and Results</w:t>
      </w:r>
    </w:p>
    <w:p w14:paraId="0DD61651" w14:textId="77777777" w:rsidR="009205E8" w:rsidRDefault="009205E8" w:rsidP="009205E8"/>
    <w:p w14:paraId="6922D426" w14:textId="77777777" w:rsidR="009205E8" w:rsidRDefault="009205E8" w:rsidP="009205E8"/>
    <w:p w14:paraId="7831B4E1" w14:textId="77777777" w:rsidR="009205E8" w:rsidRPr="007A46EA" w:rsidRDefault="009205E8" w:rsidP="009205E8">
      <w:pPr>
        <w:rPr>
          <w:b/>
          <w:bCs/>
          <w:i/>
          <w:iCs/>
        </w:rPr>
      </w:pPr>
      <w:r w:rsidRPr="007A46EA">
        <w:rPr>
          <w:b/>
          <w:bCs/>
          <w:i/>
          <w:iCs/>
        </w:rPr>
        <w:t xml:space="preserve">Table </w:t>
      </w:r>
      <w:r>
        <w:rPr>
          <w:b/>
          <w:bCs/>
          <w:i/>
          <w:iCs/>
        </w:rPr>
        <w:t>A</w:t>
      </w:r>
      <w:r w:rsidRPr="007A46EA">
        <w:rPr>
          <w:b/>
          <w:bCs/>
          <w:i/>
          <w:iCs/>
        </w:rPr>
        <w:t xml:space="preserve">1: </w:t>
      </w:r>
      <w:r>
        <w:rPr>
          <w:b/>
          <w:bCs/>
          <w:i/>
          <w:iCs/>
        </w:rPr>
        <w:t>Key a</w:t>
      </w:r>
      <w:r w:rsidRPr="007A46EA">
        <w:rPr>
          <w:b/>
          <w:bCs/>
          <w:i/>
          <w:iCs/>
        </w:rPr>
        <w:t>nalysis assumptions and approach</w:t>
      </w:r>
    </w:p>
    <w:p w14:paraId="25F51E57" w14:textId="77777777" w:rsidR="009205E8" w:rsidRDefault="009205E8" w:rsidP="009205E8"/>
    <w:p w14:paraId="4799BA29" w14:textId="77777777" w:rsidR="009205E8" w:rsidRDefault="009205E8" w:rsidP="009205E8">
      <w:pPr>
        <w:rPr>
          <w:b/>
          <w:bCs/>
          <w:i/>
          <w:iCs/>
        </w:rPr>
      </w:pPr>
    </w:p>
    <w:tbl>
      <w:tblPr>
        <w:tblStyle w:val="TableGrid"/>
        <w:tblW w:w="0" w:type="auto"/>
        <w:tblLook w:val="04A0" w:firstRow="1" w:lastRow="0" w:firstColumn="1" w:lastColumn="0" w:noHBand="0" w:noVBand="1"/>
      </w:tblPr>
      <w:tblGrid>
        <w:gridCol w:w="2830"/>
        <w:gridCol w:w="6186"/>
      </w:tblGrid>
      <w:tr w:rsidR="009205E8" w14:paraId="4405E35D" w14:textId="77777777" w:rsidTr="00B20214">
        <w:tc>
          <w:tcPr>
            <w:tcW w:w="2830" w:type="dxa"/>
            <w:vMerge w:val="restart"/>
          </w:tcPr>
          <w:p w14:paraId="6F878677" w14:textId="77777777" w:rsidR="009205E8" w:rsidRPr="007D4396" w:rsidRDefault="009205E8" w:rsidP="00B20214">
            <w:r w:rsidRPr="007D4396">
              <w:t>Financial</w:t>
            </w:r>
            <w:r>
              <w:t xml:space="preserve"> parameters</w:t>
            </w:r>
          </w:p>
        </w:tc>
        <w:tc>
          <w:tcPr>
            <w:tcW w:w="6186" w:type="dxa"/>
          </w:tcPr>
          <w:p w14:paraId="3D3E7FB0" w14:textId="77777777" w:rsidR="009205E8" w:rsidRDefault="009205E8" w:rsidP="00B20214">
            <w:r>
              <w:t>CAPEX data: SEA-LNG market intelligence</w:t>
            </w:r>
          </w:p>
          <w:p w14:paraId="21B5518A" w14:textId="77777777" w:rsidR="009205E8" w:rsidRDefault="009205E8" w:rsidP="00B20214">
            <w:pPr>
              <w:rPr>
                <w:b/>
                <w:bCs/>
                <w:i/>
                <w:iCs/>
              </w:rPr>
            </w:pPr>
          </w:p>
        </w:tc>
      </w:tr>
      <w:tr w:rsidR="009205E8" w14:paraId="6CBBC944" w14:textId="77777777" w:rsidTr="00B20214">
        <w:tc>
          <w:tcPr>
            <w:tcW w:w="2830" w:type="dxa"/>
            <w:vMerge/>
          </w:tcPr>
          <w:p w14:paraId="30F04486" w14:textId="77777777" w:rsidR="009205E8" w:rsidRDefault="009205E8" w:rsidP="00B20214">
            <w:pPr>
              <w:rPr>
                <w:b/>
                <w:bCs/>
                <w:i/>
                <w:iCs/>
              </w:rPr>
            </w:pPr>
          </w:p>
        </w:tc>
        <w:tc>
          <w:tcPr>
            <w:tcW w:w="6186" w:type="dxa"/>
          </w:tcPr>
          <w:p w14:paraId="0C818513" w14:textId="77777777" w:rsidR="009205E8" w:rsidRDefault="009205E8" w:rsidP="00B20214">
            <w:r>
              <w:t>Weighted Average Cost of Capital: 10% per annum</w:t>
            </w:r>
          </w:p>
          <w:p w14:paraId="5FDAECD0" w14:textId="77777777" w:rsidR="009205E8" w:rsidRPr="004C332D" w:rsidRDefault="009205E8" w:rsidP="00B20214"/>
        </w:tc>
      </w:tr>
      <w:tr w:rsidR="009205E8" w14:paraId="1F0F444C" w14:textId="77777777" w:rsidTr="00B20214">
        <w:tc>
          <w:tcPr>
            <w:tcW w:w="2830" w:type="dxa"/>
            <w:vMerge/>
          </w:tcPr>
          <w:p w14:paraId="7B253082" w14:textId="77777777" w:rsidR="009205E8" w:rsidRDefault="009205E8" w:rsidP="00B20214">
            <w:pPr>
              <w:rPr>
                <w:b/>
                <w:bCs/>
                <w:i/>
                <w:iCs/>
              </w:rPr>
            </w:pPr>
          </w:p>
        </w:tc>
        <w:tc>
          <w:tcPr>
            <w:tcW w:w="6186" w:type="dxa"/>
          </w:tcPr>
          <w:p w14:paraId="5CC2E057" w14:textId="77777777" w:rsidR="009205E8" w:rsidRDefault="009205E8" w:rsidP="00B20214">
            <w:r>
              <w:t>Investment period: 15 years</w:t>
            </w:r>
          </w:p>
          <w:p w14:paraId="3B253FD9" w14:textId="77777777" w:rsidR="009205E8" w:rsidRDefault="009205E8" w:rsidP="00B20214"/>
        </w:tc>
      </w:tr>
      <w:tr w:rsidR="009205E8" w14:paraId="32B2921C" w14:textId="77777777" w:rsidTr="00B20214">
        <w:tc>
          <w:tcPr>
            <w:tcW w:w="2830" w:type="dxa"/>
            <w:vMerge w:val="restart"/>
          </w:tcPr>
          <w:p w14:paraId="27BBD0A2" w14:textId="77777777" w:rsidR="009205E8" w:rsidRPr="007D4396" w:rsidRDefault="009205E8" w:rsidP="00B20214">
            <w:r w:rsidRPr="007D4396">
              <w:t>Technical</w:t>
            </w:r>
            <w:r>
              <w:t xml:space="preserve"> parameters</w:t>
            </w:r>
          </w:p>
        </w:tc>
        <w:tc>
          <w:tcPr>
            <w:tcW w:w="6186" w:type="dxa"/>
          </w:tcPr>
          <w:p w14:paraId="6B3F9317" w14:textId="77777777" w:rsidR="009205E8" w:rsidRDefault="009205E8" w:rsidP="00B20214">
            <w:r>
              <w:t xml:space="preserve">Main engines modelled: </w:t>
            </w:r>
            <w:proofErr w:type="gramStart"/>
            <w:r>
              <w:t>MAN</w:t>
            </w:r>
            <w:proofErr w:type="gramEnd"/>
            <w:r>
              <w:t xml:space="preserve"> and </w:t>
            </w:r>
            <w:proofErr w:type="spellStart"/>
            <w:r>
              <w:t>WinGD</w:t>
            </w:r>
            <w:proofErr w:type="spellEnd"/>
          </w:p>
          <w:p w14:paraId="00FADB0F" w14:textId="77777777" w:rsidR="009205E8" w:rsidRPr="004C332D" w:rsidRDefault="009205E8" w:rsidP="00B20214"/>
        </w:tc>
      </w:tr>
      <w:tr w:rsidR="009205E8" w14:paraId="7964F21A" w14:textId="77777777" w:rsidTr="00B20214">
        <w:tc>
          <w:tcPr>
            <w:tcW w:w="2830" w:type="dxa"/>
            <w:vMerge/>
          </w:tcPr>
          <w:p w14:paraId="079C16D7" w14:textId="77777777" w:rsidR="009205E8" w:rsidRPr="007D4396" w:rsidRDefault="009205E8" w:rsidP="00B20214"/>
        </w:tc>
        <w:tc>
          <w:tcPr>
            <w:tcW w:w="6186" w:type="dxa"/>
          </w:tcPr>
          <w:p w14:paraId="0A24ECD8" w14:textId="77777777" w:rsidR="009205E8" w:rsidRDefault="009205E8" w:rsidP="00B20214">
            <w:r>
              <w:t xml:space="preserve">Auxiliary engines modelled:  </w:t>
            </w:r>
            <w:r w:rsidRPr="007D4396">
              <w:t>Wärtsilä</w:t>
            </w:r>
          </w:p>
          <w:p w14:paraId="459ED52D" w14:textId="77777777" w:rsidR="009205E8" w:rsidRDefault="009205E8" w:rsidP="00B20214"/>
        </w:tc>
      </w:tr>
      <w:tr w:rsidR="009205E8" w14:paraId="694CB69D" w14:textId="77777777" w:rsidTr="00B20214">
        <w:tc>
          <w:tcPr>
            <w:tcW w:w="2830" w:type="dxa"/>
            <w:vMerge/>
          </w:tcPr>
          <w:p w14:paraId="30A8D45F" w14:textId="77777777" w:rsidR="009205E8" w:rsidRPr="007D4396" w:rsidRDefault="009205E8" w:rsidP="00B20214"/>
        </w:tc>
        <w:tc>
          <w:tcPr>
            <w:tcW w:w="6186" w:type="dxa"/>
          </w:tcPr>
          <w:p w14:paraId="57E7FCD4" w14:textId="77777777" w:rsidR="009205E8" w:rsidRDefault="009205E8" w:rsidP="00B20214">
            <w:r>
              <w:t>E</w:t>
            </w:r>
            <w:r w:rsidRPr="007D4396">
              <w:t>ngine manufacturer specifications</w:t>
            </w:r>
            <w:r>
              <w:t xml:space="preserve"> and draft specifications</w:t>
            </w:r>
          </w:p>
          <w:p w14:paraId="79DB3351" w14:textId="77777777" w:rsidR="009205E8" w:rsidRDefault="009205E8" w:rsidP="00B20214"/>
        </w:tc>
      </w:tr>
      <w:tr w:rsidR="009205E8" w14:paraId="55054E75" w14:textId="77777777" w:rsidTr="00B20214">
        <w:tc>
          <w:tcPr>
            <w:tcW w:w="2830" w:type="dxa"/>
            <w:vMerge w:val="restart"/>
          </w:tcPr>
          <w:p w14:paraId="3F069F8B" w14:textId="77777777" w:rsidR="009205E8" w:rsidRPr="007D4396" w:rsidRDefault="009205E8" w:rsidP="00B20214">
            <w:r w:rsidRPr="007D4396">
              <w:t>Operating parameters</w:t>
            </w:r>
          </w:p>
        </w:tc>
        <w:tc>
          <w:tcPr>
            <w:tcW w:w="6186" w:type="dxa"/>
          </w:tcPr>
          <w:p w14:paraId="7C2370A8" w14:textId="77777777" w:rsidR="009205E8" w:rsidRDefault="009205E8" w:rsidP="00B20214">
            <w:r>
              <w:t>Average speed: 15 knots</w:t>
            </w:r>
          </w:p>
          <w:p w14:paraId="76A5E313" w14:textId="77777777" w:rsidR="009205E8" w:rsidRPr="004C332D" w:rsidRDefault="009205E8" w:rsidP="00B20214"/>
        </w:tc>
      </w:tr>
      <w:tr w:rsidR="009205E8" w14:paraId="373F5FD4" w14:textId="77777777" w:rsidTr="00B20214">
        <w:tc>
          <w:tcPr>
            <w:tcW w:w="2830" w:type="dxa"/>
            <w:vMerge/>
          </w:tcPr>
          <w:p w14:paraId="479FB067" w14:textId="77777777" w:rsidR="009205E8" w:rsidRDefault="009205E8" w:rsidP="00B20214"/>
        </w:tc>
        <w:tc>
          <w:tcPr>
            <w:tcW w:w="6186" w:type="dxa"/>
          </w:tcPr>
          <w:p w14:paraId="543F2759" w14:textId="77777777" w:rsidR="009205E8" w:rsidRDefault="009205E8" w:rsidP="00B20214">
            <w:r>
              <w:t>Sailing / Port days: 35 /15 days</w:t>
            </w:r>
          </w:p>
          <w:p w14:paraId="15D5698F" w14:textId="77777777" w:rsidR="009205E8" w:rsidRPr="004C332D" w:rsidRDefault="009205E8" w:rsidP="00B20214"/>
        </w:tc>
      </w:tr>
      <w:tr w:rsidR="009205E8" w14:paraId="336FDAC7" w14:textId="77777777" w:rsidTr="00B20214">
        <w:tc>
          <w:tcPr>
            <w:tcW w:w="2830" w:type="dxa"/>
            <w:vMerge w:val="restart"/>
          </w:tcPr>
          <w:p w14:paraId="154C096E" w14:textId="77777777" w:rsidR="009205E8" w:rsidRDefault="009205E8" w:rsidP="00B20214">
            <w:r>
              <w:t>Regulations modelled</w:t>
            </w:r>
          </w:p>
        </w:tc>
        <w:tc>
          <w:tcPr>
            <w:tcW w:w="6186" w:type="dxa"/>
          </w:tcPr>
          <w:p w14:paraId="21128A65" w14:textId="77777777" w:rsidR="009205E8" w:rsidRDefault="009205E8" w:rsidP="00B20214">
            <w:r w:rsidRPr="004C332D">
              <w:t xml:space="preserve">IMO: </w:t>
            </w:r>
            <w:r>
              <w:t xml:space="preserve">ECAs, </w:t>
            </w:r>
            <w:r w:rsidRPr="004C332D">
              <w:t>CII &amp; N</w:t>
            </w:r>
            <w:r>
              <w:t>et-</w:t>
            </w:r>
            <w:r w:rsidRPr="004C332D">
              <w:t>Z</w:t>
            </w:r>
            <w:r>
              <w:t xml:space="preserve">ero </w:t>
            </w:r>
            <w:r w:rsidRPr="004C332D">
              <w:t>F</w:t>
            </w:r>
            <w:r>
              <w:t>ramework</w:t>
            </w:r>
          </w:p>
          <w:p w14:paraId="5F53F877" w14:textId="77777777" w:rsidR="009205E8" w:rsidRPr="004C332D" w:rsidRDefault="009205E8" w:rsidP="00B20214"/>
        </w:tc>
      </w:tr>
      <w:tr w:rsidR="009205E8" w14:paraId="7A1E9447" w14:textId="77777777" w:rsidTr="00B20214">
        <w:tc>
          <w:tcPr>
            <w:tcW w:w="2830" w:type="dxa"/>
            <w:vMerge/>
          </w:tcPr>
          <w:p w14:paraId="6528CD32" w14:textId="77777777" w:rsidR="009205E8" w:rsidRDefault="009205E8" w:rsidP="00B20214"/>
        </w:tc>
        <w:tc>
          <w:tcPr>
            <w:tcW w:w="6186" w:type="dxa"/>
          </w:tcPr>
          <w:p w14:paraId="6954ED40" w14:textId="77777777" w:rsidR="009205E8" w:rsidRPr="004C332D" w:rsidRDefault="009205E8" w:rsidP="00B20214">
            <w:r w:rsidRPr="004C332D">
              <w:t>EU: EU ETS, FuelEU Maritime &amp; O</w:t>
            </w:r>
            <w:r>
              <w:t xml:space="preserve">nshore Power Supply </w:t>
            </w:r>
            <w:r w:rsidRPr="004C332D">
              <w:t>mandate</w:t>
            </w:r>
          </w:p>
        </w:tc>
      </w:tr>
    </w:tbl>
    <w:p w14:paraId="022B5471" w14:textId="77777777" w:rsidR="009205E8" w:rsidRPr="004C332D" w:rsidRDefault="009205E8" w:rsidP="009205E8">
      <w:pPr>
        <w:rPr>
          <w:b/>
          <w:bCs/>
          <w:i/>
          <w:iCs/>
        </w:rPr>
      </w:pPr>
    </w:p>
    <w:p w14:paraId="53533510" w14:textId="77777777" w:rsidR="009205E8" w:rsidRDefault="009205E8" w:rsidP="009205E8">
      <w:pPr>
        <w:rPr>
          <w:b/>
          <w:bCs/>
        </w:rPr>
      </w:pPr>
    </w:p>
    <w:p w14:paraId="3A2781A1" w14:textId="77777777" w:rsidR="009205E8" w:rsidRPr="00856E21" w:rsidRDefault="009205E8" w:rsidP="009205E8">
      <w:pPr>
        <w:rPr>
          <w:b/>
          <w:bCs/>
          <w:i/>
          <w:iCs/>
        </w:rPr>
      </w:pPr>
      <w:r w:rsidRPr="00856E21">
        <w:rPr>
          <w:b/>
          <w:bCs/>
          <w:i/>
          <w:iCs/>
        </w:rPr>
        <w:t xml:space="preserve">Table </w:t>
      </w:r>
      <w:r>
        <w:rPr>
          <w:b/>
          <w:bCs/>
          <w:i/>
          <w:iCs/>
        </w:rPr>
        <w:t>A2</w:t>
      </w:r>
      <w:r w:rsidRPr="00856E21">
        <w:rPr>
          <w:b/>
          <w:bCs/>
          <w:i/>
          <w:iCs/>
        </w:rPr>
        <w:t>: Analysis results for 14,000 TEU container vessel on Trans-Pacific route</w:t>
      </w:r>
    </w:p>
    <w:p w14:paraId="18A4CDAA" w14:textId="77777777" w:rsidR="009205E8" w:rsidRDefault="009205E8" w:rsidP="009205E8"/>
    <w:tbl>
      <w:tblPr>
        <w:tblStyle w:val="TableGrid"/>
        <w:tblW w:w="0" w:type="auto"/>
        <w:tblLook w:val="04A0" w:firstRow="1" w:lastRow="0" w:firstColumn="1" w:lastColumn="0" w:noHBand="0" w:noVBand="1"/>
      </w:tblPr>
      <w:tblGrid>
        <w:gridCol w:w="1502"/>
        <w:gridCol w:w="1502"/>
        <w:gridCol w:w="1503"/>
        <w:gridCol w:w="1503"/>
        <w:gridCol w:w="1503"/>
        <w:gridCol w:w="1503"/>
      </w:tblGrid>
      <w:tr w:rsidR="009205E8" w14:paraId="44C94455" w14:textId="77777777" w:rsidTr="00B20214">
        <w:tc>
          <w:tcPr>
            <w:tcW w:w="1502" w:type="dxa"/>
          </w:tcPr>
          <w:p w14:paraId="0572B3E0" w14:textId="77777777" w:rsidR="009205E8" w:rsidRDefault="009205E8" w:rsidP="00B20214"/>
        </w:tc>
        <w:tc>
          <w:tcPr>
            <w:tcW w:w="1502" w:type="dxa"/>
          </w:tcPr>
          <w:p w14:paraId="1C6B45EF" w14:textId="77777777" w:rsidR="009205E8" w:rsidRPr="00917FF2" w:rsidRDefault="009205E8" w:rsidP="00B20214">
            <w:pPr>
              <w:rPr>
                <w:b/>
                <w:bCs/>
              </w:rPr>
            </w:pPr>
            <w:r w:rsidRPr="00917FF2">
              <w:rPr>
                <w:b/>
                <w:bCs/>
              </w:rPr>
              <w:t>VLSFO</w:t>
            </w:r>
          </w:p>
        </w:tc>
        <w:tc>
          <w:tcPr>
            <w:tcW w:w="1503" w:type="dxa"/>
          </w:tcPr>
          <w:p w14:paraId="5A66A615" w14:textId="77777777" w:rsidR="009205E8" w:rsidRPr="00917FF2" w:rsidRDefault="009205E8" w:rsidP="00B20214">
            <w:pPr>
              <w:rPr>
                <w:b/>
                <w:bCs/>
              </w:rPr>
            </w:pPr>
            <w:r w:rsidRPr="00917FF2">
              <w:rPr>
                <w:b/>
                <w:bCs/>
              </w:rPr>
              <w:t>LNG High Pressure Dual Fuel</w:t>
            </w:r>
          </w:p>
        </w:tc>
        <w:tc>
          <w:tcPr>
            <w:tcW w:w="1503" w:type="dxa"/>
          </w:tcPr>
          <w:p w14:paraId="2EFE5FAD" w14:textId="77777777" w:rsidR="009205E8" w:rsidRPr="00917FF2" w:rsidRDefault="009205E8" w:rsidP="00B20214">
            <w:pPr>
              <w:rPr>
                <w:b/>
                <w:bCs/>
              </w:rPr>
            </w:pPr>
            <w:r w:rsidRPr="00917FF2">
              <w:rPr>
                <w:b/>
                <w:bCs/>
              </w:rPr>
              <w:t>LNG Low Pressure</w:t>
            </w:r>
          </w:p>
          <w:p w14:paraId="6FA946D6" w14:textId="77777777" w:rsidR="009205E8" w:rsidRPr="00917FF2" w:rsidRDefault="009205E8" w:rsidP="00B20214">
            <w:pPr>
              <w:rPr>
                <w:b/>
                <w:bCs/>
              </w:rPr>
            </w:pPr>
            <w:r w:rsidRPr="00917FF2">
              <w:rPr>
                <w:b/>
                <w:bCs/>
              </w:rPr>
              <w:t>Dual Fuel</w:t>
            </w:r>
          </w:p>
        </w:tc>
        <w:tc>
          <w:tcPr>
            <w:tcW w:w="1503" w:type="dxa"/>
          </w:tcPr>
          <w:p w14:paraId="4C0F7B86" w14:textId="77777777" w:rsidR="009205E8" w:rsidRPr="00917FF2" w:rsidRDefault="009205E8" w:rsidP="00B20214">
            <w:pPr>
              <w:rPr>
                <w:b/>
                <w:bCs/>
              </w:rPr>
            </w:pPr>
            <w:r w:rsidRPr="00917FF2">
              <w:rPr>
                <w:b/>
                <w:bCs/>
              </w:rPr>
              <w:t>Ammonia Dual Fuel</w:t>
            </w:r>
          </w:p>
        </w:tc>
        <w:tc>
          <w:tcPr>
            <w:tcW w:w="1503" w:type="dxa"/>
          </w:tcPr>
          <w:p w14:paraId="0902A038" w14:textId="77777777" w:rsidR="009205E8" w:rsidRPr="00917FF2" w:rsidRDefault="009205E8" w:rsidP="00B20214">
            <w:pPr>
              <w:rPr>
                <w:b/>
                <w:bCs/>
              </w:rPr>
            </w:pPr>
            <w:r w:rsidRPr="00917FF2">
              <w:rPr>
                <w:b/>
                <w:bCs/>
              </w:rPr>
              <w:t>Methanol Dual Fuel</w:t>
            </w:r>
          </w:p>
        </w:tc>
      </w:tr>
      <w:tr w:rsidR="009205E8" w14:paraId="324BF7BC" w14:textId="77777777" w:rsidTr="00B20214">
        <w:tc>
          <w:tcPr>
            <w:tcW w:w="1502" w:type="dxa"/>
          </w:tcPr>
          <w:p w14:paraId="784F4F5C" w14:textId="77777777" w:rsidR="009205E8" w:rsidRDefault="009205E8" w:rsidP="00B20214">
            <w:pPr>
              <w:rPr>
                <w:b/>
                <w:bCs/>
              </w:rPr>
            </w:pPr>
            <w:r w:rsidRPr="00917FF2">
              <w:rPr>
                <w:b/>
                <w:bCs/>
              </w:rPr>
              <w:t xml:space="preserve">Capex </w:t>
            </w:r>
            <w:r>
              <w:rPr>
                <w:b/>
                <w:bCs/>
              </w:rPr>
              <w:t xml:space="preserve"> </w:t>
            </w:r>
          </w:p>
          <w:p w14:paraId="15A47E80" w14:textId="77777777" w:rsidR="009205E8" w:rsidRPr="00917FF2" w:rsidRDefault="009205E8" w:rsidP="00B20214">
            <w:pPr>
              <w:rPr>
                <w:b/>
                <w:bCs/>
              </w:rPr>
            </w:pPr>
            <w:r w:rsidRPr="00917FF2">
              <w:rPr>
                <w:b/>
                <w:bCs/>
              </w:rPr>
              <w:t>($m)</w:t>
            </w:r>
          </w:p>
        </w:tc>
        <w:tc>
          <w:tcPr>
            <w:tcW w:w="1502" w:type="dxa"/>
          </w:tcPr>
          <w:p w14:paraId="6295B490" w14:textId="77777777" w:rsidR="009205E8" w:rsidRPr="00206B89" w:rsidRDefault="009205E8" w:rsidP="00B20214">
            <w:pPr>
              <w:rPr>
                <w:u w:val="single"/>
              </w:rPr>
            </w:pPr>
            <w:r>
              <w:t>196.0</w:t>
            </w:r>
          </w:p>
        </w:tc>
        <w:tc>
          <w:tcPr>
            <w:tcW w:w="1503" w:type="dxa"/>
          </w:tcPr>
          <w:p w14:paraId="243CDDC4" w14:textId="77777777" w:rsidR="009205E8" w:rsidRDefault="009205E8" w:rsidP="00B20214">
            <w:r>
              <w:t>215.0</w:t>
            </w:r>
          </w:p>
        </w:tc>
        <w:tc>
          <w:tcPr>
            <w:tcW w:w="1503" w:type="dxa"/>
          </w:tcPr>
          <w:p w14:paraId="4E147FCB" w14:textId="77777777" w:rsidR="009205E8" w:rsidRDefault="009205E8" w:rsidP="00B20214">
            <w:r>
              <w:t>213.0</w:t>
            </w:r>
          </w:p>
        </w:tc>
        <w:tc>
          <w:tcPr>
            <w:tcW w:w="1503" w:type="dxa"/>
          </w:tcPr>
          <w:p w14:paraId="0377758D" w14:textId="77777777" w:rsidR="009205E8" w:rsidRDefault="009205E8" w:rsidP="00B20214">
            <w:r>
              <w:t>212.0</w:t>
            </w:r>
          </w:p>
        </w:tc>
        <w:tc>
          <w:tcPr>
            <w:tcW w:w="1503" w:type="dxa"/>
          </w:tcPr>
          <w:p w14:paraId="18E55DCB" w14:textId="77777777" w:rsidR="009205E8" w:rsidRDefault="009205E8" w:rsidP="00B20214">
            <w:r>
              <w:t>210.0</w:t>
            </w:r>
          </w:p>
        </w:tc>
      </w:tr>
      <w:tr w:rsidR="009205E8" w14:paraId="5600A42A" w14:textId="77777777" w:rsidTr="00B20214">
        <w:tc>
          <w:tcPr>
            <w:tcW w:w="1502" w:type="dxa"/>
          </w:tcPr>
          <w:p w14:paraId="276BA99C" w14:textId="77777777" w:rsidR="009205E8" w:rsidRPr="00917FF2" w:rsidRDefault="009205E8" w:rsidP="00B20214">
            <w:pPr>
              <w:rPr>
                <w:b/>
                <w:bCs/>
              </w:rPr>
            </w:pPr>
            <w:r w:rsidRPr="00917FF2">
              <w:rPr>
                <w:b/>
                <w:bCs/>
              </w:rPr>
              <w:t>Fuel Expense ($m)</w:t>
            </w:r>
          </w:p>
        </w:tc>
        <w:tc>
          <w:tcPr>
            <w:tcW w:w="1502" w:type="dxa"/>
          </w:tcPr>
          <w:p w14:paraId="685695FE" w14:textId="77777777" w:rsidR="009205E8" w:rsidRDefault="009205E8" w:rsidP="00B20214">
            <w:r>
              <w:t>164.4</w:t>
            </w:r>
          </w:p>
        </w:tc>
        <w:tc>
          <w:tcPr>
            <w:tcW w:w="1503" w:type="dxa"/>
          </w:tcPr>
          <w:p w14:paraId="5CC526AF" w14:textId="77777777" w:rsidR="009205E8" w:rsidRDefault="009205E8" w:rsidP="00B20214">
            <w:r>
              <w:t>118.9</w:t>
            </w:r>
          </w:p>
        </w:tc>
        <w:tc>
          <w:tcPr>
            <w:tcW w:w="1503" w:type="dxa"/>
          </w:tcPr>
          <w:p w14:paraId="1269F99E" w14:textId="77777777" w:rsidR="009205E8" w:rsidRDefault="009205E8" w:rsidP="00B20214">
            <w:r>
              <w:t>124.6</w:t>
            </w:r>
          </w:p>
        </w:tc>
        <w:tc>
          <w:tcPr>
            <w:tcW w:w="1503" w:type="dxa"/>
          </w:tcPr>
          <w:p w14:paraId="0699E769" w14:textId="77777777" w:rsidR="009205E8" w:rsidRDefault="009205E8" w:rsidP="00B20214">
            <w:r>
              <w:t>173.4</w:t>
            </w:r>
          </w:p>
        </w:tc>
        <w:tc>
          <w:tcPr>
            <w:tcW w:w="1503" w:type="dxa"/>
          </w:tcPr>
          <w:p w14:paraId="594F65C9" w14:textId="77777777" w:rsidR="009205E8" w:rsidRDefault="009205E8" w:rsidP="00B20214">
            <w:r>
              <w:t>162.4</w:t>
            </w:r>
          </w:p>
        </w:tc>
      </w:tr>
      <w:tr w:rsidR="009205E8" w14:paraId="0465618A" w14:textId="77777777" w:rsidTr="00B20214">
        <w:tc>
          <w:tcPr>
            <w:tcW w:w="1502" w:type="dxa"/>
          </w:tcPr>
          <w:p w14:paraId="71A6B86B" w14:textId="77777777" w:rsidR="009205E8" w:rsidRPr="00917FF2" w:rsidRDefault="009205E8" w:rsidP="00B20214">
            <w:pPr>
              <w:rPr>
                <w:b/>
                <w:bCs/>
              </w:rPr>
            </w:pPr>
            <w:r w:rsidRPr="00917FF2">
              <w:rPr>
                <w:b/>
                <w:bCs/>
              </w:rPr>
              <w:t>IMO RU ($m)</w:t>
            </w:r>
          </w:p>
        </w:tc>
        <w:tc>
          <w:tcPr>
            <w:tcW w:w="1502" w:type="dxa"/>
          </w:tcPr>
          <w:p w14:paraId="23FDE6EB" w14:textId="77777777" w:rsidR="009205E8" w:rsidRDefault="009205E8" w:rsidP="00B20214">
            <w:r>
              <w:t>6.9</w:t>
            </w:r>
          </w:p>
        </w:tc>
        <w:tc>
          <w:tcPr>
            <w:tcW w:w="1503" w:type="dxa"/>
          </w:tcPr>
          <w:p w14:paraId="5E909D8F" w14:textId="77777777" w:rsidR="009205E8" w:rsidRDefault="009205E8" w:rsidP="00B20214">
            <w:r>
              <w:t>4.3</w:t>
            </w:r>
          </w:p>
        </w:tc>
        <w:tc>
          <w:tcPr>
            <w:tcW w:w="1503" w:type="dxa"/>
          </w:tcPr>
          <w:p w14:paraId="6CF96F22" w14:textId="77777777" w:rsidR="009205E8" w:rsidRDefault="009205E8" w:rsidP="00B20214">
            <w:r>
              <w:t>5.1</w:t>
            </w:r>
          </w:p>
        </w:tc>
        <w:tc>
          <w:tcPr>
            <w:tcW w:w="1503" w:type="dxa"/>
          </w:tcPr>
          <w:p w14:paraId="382952AE" w14:textId="77777777" w:rsidR="009205E8" w:rsidRDefault="009205E8" w:rsidP="00B20214">
            <w:r>
              <w:t>7.3</w:t>
            </w:r>
          </w:p>
        </w:tc>
        <w:tc>
          <w:tcPr>
            <w:tcW w:w="1503" w:type="dxa"/>
          </w:tcPr>
          <w:p w14:paraId="2455A345" w14:textId="77777777" w:rsidR="009205E8" w:rsidRDefault="009205E8" w:rsidP="00B20214">
            <w:r>
              <w:t>6.9</w:t>
            </w:r>
          </w:p>
        </w:tc>
      </w:tr>
      <w:tr w:rsidR="009205E8" w14:paraId="311DEC70" w14:textId="77777777" w:rsidTr="00B20214">
        <w:tc>
          <w:tcPr>
            <w:tcW w:w="1502" w:type="dxa"/>
          </w:tcPr>
          <w:p w14:paraId="405BABF2" w14:textId="77777777" w:rsidR="009205E8" w:rsidRPr="00917FF2" w:rsidRDefault="009205E8" w:rsidP="00B20214">
            <w:pPr>
              <w:rPr>
                <w:b/>
                <w:bCs/>
              </w:rPr>
            </w:pPr>
            <w:r w:rsidRPr="00917FF2">
              <w:rPr>
                <w:b/>
                <w:bCs/>
              </w:rPr>
              <w:t>Overall Cost ($m)</w:t>
            </w:r>
          </w:p>
        </w:tc>
        <w:tc>
          <w:tcPr>
            <w:tcW w:w="1502" w:type="dxa"/>
          </w:tcPr>
          <w:p w14:paraId="17E04154" w14:textId="77777777" w:rsidR="009205E8" w:rsidRDefault="009205E8" w:rsidP="00B20214">
            <w:r>
              <w:t>367.3</w:t>
            </w:r>
          </w:p>
        </w:tc>
        <w:tc>
          <w:tcPr>
            <w:tcW w:w="1503" w:type="dxa"/>
          </w:tcPr>
          <w:p w14:paraId="1136E1E6" w14:textId="77777777" w:rsidR="009205E8" w:rsidRDefault="009205E8" w:rsidP="00B20214">
            <w:r>
              <w:t>338.2</w:t>
            </w:r>
          </w:p>
        </w:tc>
        <w:tc>
          <w:tcPr>
            <w:tcW w:w="1503" w:type="dxa"/>
          </w:tcPr>
          <w:p w14:paraId="0184F8BE" w14:textId="77777777" w:rsidR="009205E8" w:rsidRDefault="009205E8" w:rsidP="00B20214">
            <w:r>
              <w:t>342.7</w:t>
            </w:r>
          </w:p>
        </w:tc>
        <w:tc>
          <w:tcPr>
            <w:tcW w:w="1503" w:type="dxa"/>
          </w:tcPr>
          <w:p w14:paraId="65474FBD" w14:textId="77777777" w:rsidR="009205E8" w:rsidRDefault="009205E8" w:rsidP="00B20214">
            <w:r>
              <w:t>392.7</w:t>
            </w:r>
          </w:p>
        </w:tc>
        <w:tc>
          <w:tcPr>
            <w:tcW w:w="1503" w:type="dxa"/>
          </w:tcPr>
          <w:p w14:paraId="7BCAE0C5" w14:textId="77777777" w:rsidR="009205E8" w:rsidRDefault="009205E8" w:rsidP="00B20214">
            <w:r>
              <w:t>379.3</w:t>
            </w:r>
          </w:p>
        </w:tc>
      </w:tr>
      <w:tr w:rsidR="009205E8" w14:paraId="233EEFB9" w14:textId="77777777" w:rsidTr="00B20214">
        <w:tc>
          <w:tcPr>
            <w:tcW w:w="1502" w:type="dxa"/>
          </w:tcPr>
          <w:p w14:paraId="64045CBA" w14:textId="77777777" w:rsidR="009205E8" w:rsidRPr="00917FF2" w:rsidRDefault="009205E8" w:rsidP="00B20214">
            <w:pPr>
              <w:rPr>
                <w:b/>
                <w:bCs/>
              </w:rPr>
            </w:pPr>
            <w:r w:rsidRPr="00917FF2">
              <w:rPr>
                <w:b/>
                <w:bCs/>
              </w:rPr>
              <w:t>Relative Payback (years)</w:t>
            </w:r>
          </w:p>
        </w:tc>
        <w:tc>
          <w:tcPr>
            <w:tcW w:w="1502" w:type="dxa"/>
          </w:tcPr>
          <w:p w14:paraId="166635D2" w14:textId="77777777" w:rsidR="009205E8" w:rsidRDefault="009205E8" w:rsidP="00B20214">
            <w:r>
              <w:t>N/A</w:t>
            </w:r>
          </w:p>
        </w:tc>
        <w:tc>
          <w:tcPr>
            <w:tcW w:w="1503" w:type="dxa"/>
          </w:tcPr>
          <w:p w14:paraId="6A2B827E" w14:textId="77777777" w:rsidR="009205E8" w:rsidRDefault="009205E8" w:rsidP="00B20214">
            <w:r>
              <w:t xml:space="preserve">4.3 </w:t>
            </w:r>
          </w:p>
        </w:tc>
        <w:tc>
          <w:tcPr>
            <w:tcW w:w="1503" w:type="dxa"/>
          </w:tcPr>
          <w:p w14:paraId="223A075F" w14:textId="77777777" w:rsidR="009205E8" w:rsidRDefault="009205E8" w:rsidP="00B20214">
            <w:r>
              <w:t xml:space="preserve">5.1 </w:t>
            </w:r>
          </w:p>
        </w:tc>
        <w:tc>
          <w:tcPr>
            <w:tcW w:w="1503" w:type="dxa"/>
          </w:tcPr>
          <w:p w14:paraId="27399B0F" w14:textId="77777777" w:rsidR="009205E8" w:rsidRDefault="009205E8" w:rsidP="00B20214">
            <w:r>
              <w:t>N/A</w:t>
            </w:r>
          </w:p>
        </w:tc>
        <w:tc>
          <w:tcPr>
            <w:tcW w:w="1503" w:type="dxa"/>
          </w:tcPr>
          <w:p w14:paraId="67FE563A" w14:textId="77777777" w:rsidR="009205E8" w:rsidRDefault="009205E8" w:rsidP="00B20214">
            <w:r>
              <w:t>N/A</w:t>
            </w:r>
          </w:p>
        </w:tc>
      </w:tr>
    </w:tbl>
    <w:p w14:paraId="407F6153" w14:textId="77777777" w:rsidR="009205E8" w:rsidRPr="00A06283" w:rsidRDefault="009205E8" w:rsidP="009205E8">
      <w:pPr>
        <w:rPr>
          <w:b/>
          <w:bCs/>
          <w:u w:val="single"/>
        </w:rPr>
      </w:pPr>
    </w:p>
    <w:p w14:paraId="72F426F5" w14:textId="77777777" w:rsidR="006527E7" w:rsidRDefault="006527E7"/>
    <w:sectPr w:rsidR="006527E7">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A6DB04" w14:textId="77777777" w:rsidR="0097191A" w:rsidRDefault="0097191A" w:rsidP="009205E8">
      <w:r>
        <w:separator/>
      </w:r>
    </w:p>
  </w:endnote>
  <w:endnote w:type="continuationSeparator" w:id="0">
    <w:p w14:paraId="79EAC1DC" w14:textId="77777777" w:rsidR="0097191A" w:rsidRDefault="0097191A" w:rsidP="009205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19BF8F" w14:textId="77777777" w:rsidR="0097191A" w:rsidRDefault="0097191A" w:rsidP="009205E8">
      <w:r>
        <w:separator/>
      </w:r>
    </w:p>
  </w:footnote>
  <w:footnote w:type="continuationSeparator" w:id="0">
    <w:p w14:paraId="4140B1A0" w14:textId="77777777" w:rsidR="0097191A" w:rsidRDefault="0097191A" w:rsidP="009205E8">
      <w:r>
        <w:continuationSeparator/>
      </w:r>
    </w:p>
  </w:footnote>
  <w:footnote w:id="1">
    <w:p w14:paraId="1556F696" w14:textId="77777777" w:rsidR="009205E8" w:rsidRPr="00F10D0C" w:rsidRDefault="009205E8" w:rsidP="009205E8">
      <w:pPr>
        <w:pStyle w:val="FootnoteText"/>
        <w:rPr>
          <w:lang w:val="en-US"/>
        </w:rPr>
      </w:pPr>
      <w:r>
        <w:rPr>
          <w:rStyle w:val="FootnoteReference"/>
        </w:rPr>
        <w:footnoteRef/>
      </w:r>
      <w:r>
        <w:t xml:space="preserve"> www.z-joule.com</w:t>
      </w:r>
    </w:p>
  </w:footnote>
  <w:footnote w:id="2">
    <w:p w14:paraId="443EA272" w14:textId="77777777" w:rsidR="009205E8" w:rsidRPr="00C859A8" w:rsidRDefault="009205E8" w:rsidP="009205E8">
      <w:pPr>
        <w:pStyle w:val="FootnoteText"/>
        <w:rPr>
          <w:lang w:val="en-US"/>
        </w:rPr>
      </w:pPr>
      <w:r>
        <w:rPr>
          <w:rStyle w:val="FootnoteReference"/>
        </w:rPr>
        <w:footnoteRef/>
      </w:r>
      <w:r>
        <w:t xml:space="preserve"> </w:t>
      </w:r>
      <w:r w:rsidRPr="00C859A8">
        <w:t>MEPC 82/INF.8/Add.1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05312B" w14:textId="033E1682" w:rsidR="009205E8" w:rsidRDefault="009205E8" w:rsidP="009205E8">
    <w:pPr>
      <w:pStyle w:val="Header"/>
      <w:jc w:val="center"/>
    </w:pPr>
    <w:r>
      <w:fldChar w:fldCharType="begin"/>
    </w:r>
    <w:r>
      <w:instrText xml:space="preserve"> INCLUDEPICTURE "https://media.licdn.com/dms/image/v2/C4D0BAQHfH90MOkBlbw/company-logo_200_200/company-logo_200_200/0/1630574964154/sealng_logo?e=2147483647&amp;v=beta&amp;t=4cIBCk4UlWL_6BFOMiXnfQTCqRaWWBFQSHWWV0Z2KQM" \* MERGEFORMATINET </w:instrText>
    </w:r>
    <w:r>
      <w:fldChar w:fldCharType="separate"/>
    </w:r>
    <w:r>
      <w:rPr>
        <w:noProof/>
      </w:rPr>
      <w:drawing>
        <wp:inline distT="0" distB="0" distL="0" distR="0" wp14:anchorId="22FF561A" wp14:editId="7C575695">
          <wp:extent cx="1608455" cy="482600"/>
          <wp:effectExtent l="0" t="0" r="4445" b="0"/>
          <wp:docPr id="2070403709" name="Picture 1" descr="SEA-LNG | Linked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LNG | LinkedIn"/>
                  <pic:cNvPicPr>
                    <a:picLocks noChangeAspect="1" noChangeArrowheads="1"/>
                  </pic:cNvPicPr>
                </pic:nvPicPr>
                <pic:blipFill rotWithShape="1">
                  <a:blip r:embed="rId1">
                    <a:extLst>
                      <a:ext uri="{28A0092B-C50C-407E-A947-70E740481C1C}">
                        <a14:useLocalDpi xmlns:a14="http://schemas.microsoft.com/office/drawing/2010/main" val="0"/>
                      </a:ext>
                    </a:extLst>
                  </a:blip>
                  <a:srcRect t="33163" b="36833"/>
                  <a:stretch/>
                </pic:blipFill>
                <pic:spPr bwMode="auto">
                  <a:xfrm>
                    <a:off x="0" y="0"/>
                    <a:ext cx="1620664" cy="486263"/>
                  </a:xfrm>
                  <a:prstGeom prst="rect">
                    <a:avLst/>
                  </a:prstGeom>
                  <a:noFill/>
                  <a:ln>
                    <a:noFill/>
                  </a:ln>
                  <a:extLst>
                    <a:ext uri="{53640926-AAD7-44D8-BBD7-CCE9431645EC}">
                      <a14:shadowObscured xmlns:a14="http://schemas.microsoft.com/office/drawing/2010/main"/>
                    </a:ext>
                  </a:extLst>
                </pic:spPr>
              </pic:pic>
            </a:graphicData>
          </a:graphic>
        </wp:inline>
      </w:drawing>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7B11F15"/>
    <w:multiLevelType w:val="hybridMultilevel"/>
    <w:tmpl w:val="241A3C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7493755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05E8"/>
    <w:rsid w:val="000B7EF3"/>
    <w:rsid w:val="002B3D51"/>
    <w:rsid w:val="004E4602"/>
    <w:rsid w:val="005F6852"/>
    <w:rsid w:val="006527E7"/>
    <w:rsid w:val="009205E8"/>
    <w:rsid w:val="0097191A"/>
    <w:rsid w:val="00CD5C20"/>
    <w:rsid w:val="00ED186D"/>
    <w:rsid w:val="00F627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F3A9035"/>
  <w15:chartTrackingRefBased/>
  <w15:docId w15:val="{730D208C-71BB-7F49-8125-5700DA446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05E8"/>
  </w:style>
  <w:style w:type="paragraph" w:styleId="Heading1">
    <w:name w:val="heading 1"/>
    <w:basedOn w:val="Normal"/>
    <w:next w:val="Normal"/>
    <w:link w:val="Heading1Char"/>
    <w:uiPriority w:val="9"/>
    <w:qFormat/>
    <w:rsid w:val="009205E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205E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205E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205E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205E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205E8"/>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205E8"/>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205E8"/>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205E8"/>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05E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205E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205E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205E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205E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205E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205E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205E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205E8"/>
    <w:rPr>
      <w:rFonts w:eastAsiaTheme="majorEastAsia" w:cstheme="majorBidi"/>
      <w:color w:val="272727" w:themeColor="text1" w:themeTint="D8"/>
    </w:rPr>
  </w:style>
  <w:style w:type="paragraph" w:styleId="Title">
    <w:name w:val="Title"/>
    <w:basedOn w:val="Normal"/>
    <w:next w:val="Normal"/>
    <w:link w:val="TitleChar"/>
    <w:uiPriority w:val="10"/>
    <w:qFormat/>
    <w:rsid w:val="009205E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205E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205E8"/>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205E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205E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205E8"/>
    <w:rPr>
      <w:i/>
      <w:iCs/>
      <w:color w:val="404040" w:themeColor="text1" w:themeTint="BF"/>
    </w:rPr>
  </w:style>
  <w:style w:type="paragraph" w:styleId="ListParagraph">
    <w:name w:val="List Paragraph"/>
    <w:basedOn w:val="Normal"/>
    <w:uiPriority w:val="34"/>
    <w:qFormat/>
    <w:rsid w:val="009205E8"/>
    <w:pPr>
      <w:ind w:left="720"/>
      <w:contextualSpacing/>
    </w:pPr>
  </w:style>
  <w:style w:type="character" w:styleId="IntenseEmphasis">
    <w:name w:val="Intense Emphasis"/>
    <w:basedOn w:val="DefaultParagraphFont"/>
    <w:uiPriority w:val="21"/>
    <w:qFormat/>
    <w:rsid w:val="009205E8"/>
    <w:rPr>
      <w:i/>
      <w:iCs/>
      <w:color w:val="0F4761" w:themeColor="accent1" w:themeShade="BF"/>
    </w:rPr>
  </w:style>
  <w:style w:type="paragraph" w:styleId="IntenseQuote">
    <w:name w:val="Intense Quote"/>
    <w:basedOn w:val="Normal"/>
    <w:next w:val="Normal"/>
    <w:link w:val="IntenseQuoteChar"/>
    <w:uiPriority w:val="30"/>
    <w:qFormat/>
    <w:rsid w:val="009205E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205E8"/>
    <w:rPr>
      <w:i/>
      <w:iCs/>
      <w:color w:val="0F4761" w:themeColor="accent1" w:themeShade="BF"/>
    </w:rPr>
  </w:style>
  <w:style w:type="character" w:styleId="IntenseReference">
    <w:name w:val="Intense Reference"/>
    <w:basedOn w:val="DefaultParagraphFont"/>
    <w:uiPriority w:val="32"/>
    <w:qFormat/>
    <w:rsid w:val="009205E8"/>
    <w:rPr>
      <w:b/>
      <w:bCs/>
      <w:smallCaps/>
      <w:color w:val="0F4761" w:themeColor="accent1" w:themeShade="BF"/>
      <w:spacing w:val="5"/>
    </w:rPr>
  </w:style>
  <w:style w:type="paragraph" w:customStyle="1" w:styleId="xmsonormal">
    <w:name w:val="xmsonormal"/>
    <w:basedOn w:val="Normal"/>
    <w:rsid w:val="009205E8"/>
    <w:pPr>
      <w:spacing w:before="100" w:beforeAutospacing="1" w:after="100" w:afterAutospacing="1"/>
    </w:pPr>
    <w:rPr>
      <w:rFonts w:ascii="Times New Roman" w:eastAsia="Times New Roman" w:hAnsi="Times New Roman" w:cs="Times New Roman"/>
      <w:kern w:val="0"/>
      <w:lang w:eastAsia="en-GB"/>
      <w14:ligatures w14:val="none"/>
    </w:rPr>
  </w:style>
  <w:style w:type="table" w:styleId="TableGrid">
    <w:name w:val="Table Grid"/>
    <w:basedOn w:val="TableNormal"/>
    <w:uiPriority w:val="39"/>
    <w:rsid w:val="009205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205E8"/>
    <w:rPr>
      <w:sz w:val="20"/>
      <w:szCs w:val="20"/>
    </w:rPr>
  </w:style>
  <w:style w:type="character" w:customStyle="1" w:styleId="FootnoteTextChar">
    <w:name w:val="Footnote Text Char"/>
    <w:basedOn w:val="DefaultParagraphFont"/>
    <w:link w:val="FootnoteText"/>
    <w:uiPriority w:val="99"/>
    <w:semiHidden/>
    <w:rsid w:val="009205E8"/>
    <w:rPr>
      <w:sz w:val="20"/>
      <w:szCs w:val="20"/>
    </w:rPr>
  </w:style>
  <w:style w:type="character" w:styleId="FootnoteReference">
    <w:name w:val="footnote reference"/>
    <w:basedOn w:val="DefaultParagraphFont"/>
    <w:uiPriority w:val="99"/>
    <w:semiHidden/>
    <w:unhideWhenUsed/>
    <w:rsid w:val="009205E8"/>
    <w:rPr>
      <w:vertAlign w:val="superscript"/>
    </w:rPr>
  </w:style>
  <w:style w:type="paragraph" w:styleId="Header">
    <w:name w:val="header"/>
    <w:basedOn w:val="Normal"/>
    <w:link w:val="HeaderChar"/>
    <w:uiPriority w:val="99"/>
    <w:unhideWhenUsed/>
    <w:rsid w:val="009205E8"/>
    <w:pPr>
      <w:tabs>
        <w:tab w:val="center" w:pos="4513"/>
        <w:tab w:val="right" w:pos="9026"/>
      </w:tabs>
    </w:pPr>
  </w:style>
  <w:style w:type="character" w:customStyle="1" w:styleId="HeaderChar">
    <w:name w:val="Header Char"/>
    <w:basedOn w:val="DefaultParagraphFont"/>
    <w:link w:val="Header"/>
    <w:uiPriority w:val="99"/>
    <w:rsid w:val="009205E8"/>
  </w:style>
  <w:style w:type="paragraph" w:styleId="Footer">
    <w:name w:val="footer"/>
    <w:basedOn w:val="Normal"/>
    <w:link w:val="FooterChar"/>
    <w:uiPriority w:val="99"/>
    <w:unhideWhenUsed/>
    <w:rsid w:val="009205E8"/>
    <w:pPr>
      <w:tabs>
        <w:tab w:val="center" w:pos="4513"/>
        <w:tab w:val="right" w:pos="9026"/>
      </w:tabs>
    </w:pPr>
  </w:style>
  <w:style w:type="character" w:customStyle="1" w:styleId="FooterChar">
    <w:name w:val="Footer Char"/>
    <w:basedOn w:val="DefaultParagraphFont"/>
    <w:link w:val="Footer"/>
    <w:uiPriority w:val="99"/>
    <w:rsid w:val="009205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1802</Words>
  <Characters>10276</Characters>
  <Application>Microsoft Office Word</Application>
  <DocSecurity>0</DocSecurity>
  <Lines>85</Lines>
  <Paragraphs>24</Paragraphs>
  <ScaleCrop>false</ScaleCrop>
  <Company/>
  <LinksUpToDate>false</LinksUpToDate>
  <CharactersWithSpaces>12054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Henry Earl</dc:creator>
  <cp:keywords/>
  <dc:description/>
  <cp:lastModifiedBy>Henry Earl</cp:lastModifiedBy>
  <cp:revision>2</cp:revision>
  <dcterms:created xsi:type="dcterms:W3CDTF">2025-05-14T07:56:00Z</dcterms:created>
  <dcterms:modified xsi:type="dcterms:W3CDTF">2025-05-14T07:56:00Z</dcterms:modified>
</cp:coreProperties>
</file>